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33" w:rsidRDefault="00E20C74">
      <w:pPr>
        <w:pStyle w:val="Default"/>
        <w:tabs>
          <w:tab w:val="left" w:pos="2258"/>
        </w:tabs>
        <w:overflowPunct w:val="0"/>
        <w:spacing w:line="460" w:lineRule="exact"/>
        <w:jc w:val="center"/>
        <w:rPr>
          <w:rFonts w:ascii="標楷體" w:eastAsia="標楷體" w:hAnsi="標楷體" w:cs="標楷體"/>
          <w:sz w:val="40"/>
          <w:szCs w:val="40"/>
        </w:rPr>
      </w:pPr>
      <w:bookmarkStart w:id="0" w:name="_GoBack"/>
      <w:r>
        <w:rPr>
          <w:rFonts w:ascii="標楷體" w:eastAsia="標楷體" w:hAnsi="標楷體" w:cs="標楷體"/>
          <w:sz w:val="40"/>
          <w:szCs w:val="40"/>
        </w:rPr>
        <w:t>特殊教育學生及幼兒鑑定辦法修正條文</w:t>
      </w:r>
    </w:p>
    <w:bookmarkEnd w:id="0"/>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第一條　　本辦法依特殊教育法（以下簡稱本法）第十九條第二項及第四十六條第二項規定訂定之。</w:t>
      </w:r>
    </w:p>
    <w:p w:rsidR="00FB4233" w:rsidRDefault="00E20C74">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身心障礙學生及幼兒之鑑定，應</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多元評量，依學生個別狀況採取標準化評量、直接觀察、晤談、醫學檢查等方式，或參考身心障礙證明記載蒐集個案資料，綜合研判之。</w:t>
      </w:r>
    </w:p>
    <w:p w:rsidR="00FB4233" w:rsidRDefault="00E20C74">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資賦優異學生及幼兒之鑑定，應</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多元及多階段評量，以標準化評量工具、各類鑑定基準規定之方式，綜合研判之。除一般智能及學術性向資賦優異學生之鑑定外，其他各類資賦優異學生之鑑定，均不得施以學科（領域）成就測驗。</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第三條　　本法第三條第一款所稱智能障礙，指個人在發展階段，其心智功能、適應行為及學業學習表現，較同年齡者有顯著困難。</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前項所定智能障礙，其鑑定基準依下列各款規定：</w:t>
      </w:r>
    </w:p>
    <w:p w:rsidR="00FB4233" w:rsidRDefault="00E20C74">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一、心智功能明顯低下或個別智力測驗結果未達平均數負二個標準差。</w:t>
      </w:r>
    </w:p>
    <w:p w:rsidR="00FB4233" w:rsidRDefault="00E20C74">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二、學生在生活自理、動作與行動能力、語言與溝通、社會人際與</w:t>
      </w:r>
      <w:r>
        <w:rPr>
          <w:rFonts w:ascii="標楷體" w:eastAsia="標楷體" w:hAnsi="標楷體" w:cs="標楷體"/>
          <w:color w:val="000000"/>
          <w:sz w:val="28"/>
          <w:szCs w:val="28"/>
        </w:rPr>
        <w:t>情緒行為等任一向度及學科（領域）學習之表現較同年齡者有顯著困難情形。</w:t>
      </w:r>
    </w:p>
    <w:p w:rsidR="00FB4233" w:rsidRDefault="00E20C74">
      <w:pPr>
        <w:pStyle w:val="Default"/>
        <w:tabs>
          <w:tab w:val="left" w:pos="3098"/>
        </w:tabs>
        <w:overflowPunct w:val="0"/>
        <w:spacing w:line="460" w:lineRule="exact"/>
        <w:ind w:left="840" w:hanging="840"/>
        <w:jc w:val="both"/>
      </w:pPr>
      <w:r>
        <w:rPr>
          <w:rFonts w:ascii="標楷體" w:eastAsia="標楷體" w:hAnsi="標楷體" w:cs="標楷體"/>
          <w:sz w:val="28"/>
          <w:szCs w:val="28"/>
        </w:rPr>
        <w:t>第四條　　本法第三條第二款所稱視覺障礙，指由於先天或後天原因，導致視覺器官之構造缺損或視覺機能發生部分或全部之障礙，經矯正後其視覺辨認仍有困難，</w:t>
      </w:r>
      <w:r>
        <w:rPr>
          <w:rFonts w:ascii="標楷體" w:eastAsia="標楷體" w:hAnsi="標楷體" w:cs="標楷體"/>
          <w:sz w:val="28"/>
          <w:szCs w:val="28"/>
        </w:rPr>
        <w:t>致影響參與學習活動</w:t>
      </w:r>
      <w:r>
        <w:rPr>
          <w:rFonts w:ascii="標楷體" w:eastAsia="標楷體" w:hAnsi="標楷體" w:cs="標楷體"/>
          <w:sz w:val="28"/>
          <w:szCs w:val="28"/>
        </w:rPr>
        <w:t>。</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前項所定視覺障礙，其鑑定基準依下列各款規定之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p>
    <w:p w:rsidR="00FB4233" w:rsidRDefault="00E20C74">
      <w:pPr>
        <w:pStyle w:val="Standarduser"/>
        <w:tabs>
          <w:tab w:val="left" w:pos="2854"/>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一、遠距離或近距離視力經最佳矯正後，</w:t>
      </w:r>
      <w:proofErr w:type="gramStart"/>
      <w:r>
        <w:rPr>
          <w:rFonts w:ascii="標楷體" w:eastAsia="標楷體" w:hAnsi="標楷體" w:cs="標楷體"/>
          <w:color w:val="000000"/>
          <w:sz w:val="28"/>
          <w:szCs w:val="28"/>
        </w:rPr>
        <w:t>優眼視力</w:t>
      </w:r>
      <w:proofErr w:type="gramEnd"/>
      <w:r>
        <w:rPr>
          <w:rFonts w:ascii="標楷體" w:eastAsia="標楷體" w:hAnsi="標楷體" w:cs="標楷體"/>
          <w:color w:val="000000"/>
          <w:sz w:val="28"/>
          <w:szCs w:val="28"/>
        </w:rPr>
        <w:t>未達</w:t>
      </w:r>
      <w:r>
        <w:rPr>
          <w:rFonts w:ascii="標楷體" w:eastAsia="標楷體" w:hAnsi="標楷體" w:cs="標楷體"/>
          <w:color w:val="000000"/>
          <w:sz w:val="28"/>
          <w:szCs w:val="28"/>
        </w:rPr>
        <w:t>○</w:t>
      </w:r>
      <w:r>
        <w:rPr>
          <w:rFonts w:ascii="標楷體" w:eastAsia="標楷體" w:hAnsi="標楷體" w:cs="標楷體"/>
          <w:color w:val="000000"/>
          <w:sz w:val="28"/>
          <w:szCs w:val="28"/>
        </w:rPr>
        <w:t>．四。</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二、兩眼視野各為二十度以內。</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三、視力或視野無法以一般標準化工具測定時，以其他醫學專業</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認之檢查，綜合研判之。</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第五條　　本法第三條第三款所稱聽覺障礙，指由於聽力損失，致使聽覺功能或以聽覺參與活動之能力受到限制，</w:t>
      </w:r>
      <w:r>
        <w:rPr>
          <w:rFonts w:ascii="標楷體" w:eastAsia="標楷體" w:hAnsi="標楷體" w:cs="標楷體"/>
          <w:sz w:val="28"/>
          <w:szCs w:val="28"/>
        </w:rPr>
        <w:t>影響參與學習活動</w:t>
      </w:r>
      <w:r>
        <w:rPr>
          <w:rFonts w:ascii="標楷體" w:eastAsia="標楷體" w:hAnsi="標楷體" w:cs="標楷體"/>
          <w:sz w:val="28"/>
          <w:szCs w:val="28"/>
        </w:rPr>
        <w:t>。</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前項所定聽覺障礙，其鑑定基準依下列各款規定之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rPr>
        <w:t>一、純音聽力檢查結果，聽力損失達下列各目規定之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p>
    <w:p w:rsidR="00FB4233" w:rsidRDefault="00E20C74">
      <w:pPr>
        <w:pStyle w:val="Default"/>
        <w:overflowPunct w:val="0"/>
        <w:spacing w:line="460" w:lineRule="exact"/>
        <w:ind w:left="2268" w:hanging="567"/>
        <w:jc w:val="both"/>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優耳五百</w:t>
      </w:r>
      <w:proofErr w:type="gramEnd"/>
      <w:r>
        <w:rPr>
          <w:rFonts w:ascii="標楷體" w:eastAsia="標楷體" w:hAnsi="標楷體" w:cs="標楷體"/>
          <w:sz w:val="28"/>
          <w:szCs w:val="28"/>
        </w:rPr>
        <w:t>赫、一千赫、二千赫、四千赫聽閾平均值，未滿七歲達二十一分貝以上；七歲以上達二十五分貝以上。</w:t>
      </w:r>
    </w:p>
    <w:p w:rsidR="00FB4233" w:rsidRDefault="00E20C74">
      <w:pPr>
        <w:pStyle w:val="Default"/>
        <w:overflowPunct w:val="0"/>
        <w:spacing w:line="460" w:lineRule="exact"/>
        <w:ind w:left="2268" w:hanging="567"/>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任</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耳五百赫、一千赫、二千赫、四千赫聽閾平均值達五十分貝以上。</w:t>
      </w:r>
    </w:p>
    <w:p w:rsidR="00FB4233" w:rsidRDefault="00E20C74">
      <w:pPr>
        <w:pStyle w:val="Default"/>
        <w:tabs>
          <w:tab w:val="left" w:pos="3454"/>
          <w:tab w:val="left" w:pos="4240"/>
        </w:tabs>
        <w:overflowPunct w:val="0"/>
        <w:spacing w:line="460" w:lineRule="exact"/>
        <w:ind w:left="1984" w:hanging="624"/>
        <w:jc w:val="both"/>
        <w:rPr>
          <w:rFonts w:ascii="標楷體" w:eastAsia="標楷體" w:hAnsi="標楷體" w:cs="標楷體"/>
          <w:sz w:val="28"/>
          <w:szCs w:val="28"/>
        </w:rPr>
      </w:pPr>
      <w:r>
        <w:rPr>
          <w:rFonts w:ascii="標楷體" w:eastAsia="標楷體" w:hAnsi="標楷體" w:cs="標楷體"/>
          <w:sz w:val="28"/>
          <w:szCs w:val="28"/>
        </w:rPr>
        <w:t>二、聽力無法</w:t>
      </w:r>
      <w:proofErr w:type="gramStart"/>
      <w:r>
        <w:rPr>
          <w:rFonts w:ascii="標楷體" w:eastAsia="標楷體" w:hAnsi="標楷體" w:cs="標楷體"/>
          <w:sz w:val="28"/>
          <w:szCs w:val="28"/>
        </w:rPr>
        <w:t>以前款</w:t>
      </w:r>
      <w:proofErr w:type="gramEnd"/>
      <w:r>
        <w:rPr>
          <w:rFonts w:ascii="標楷體" w:eastAsia="標楷體" w:hAnsi="標楷體" w:cs="標楷體"/>
          <w:sz w:val="28"/>
          <w:szCs w:val="28"/>
        </w:rPr>
        <w:t>純音聽力測定時，以聽覺電生理檢查方式測定後認定。</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第六條</w:t>
      </w:r>
      <w:r>
        <w:rPr>
          <w:rFonts w:ascii="標楷體" w:eastAsia="標楷體" w:hAnsi="標楷體" w:cs="標楷體"/>
          <w:sz w:val="28"/>
          <w:szCs w:val="28"/>
        </w:rPr>
        <w:t xml:space="preserve">　　本法第三條第四款所稱語言障礙，指言語或語言符號處理能力較同年齡者，有顯著偏差或低落現象，造成溝通困難，</w:t>
      </w:r>
      <w:r>
        <w:rPr>
          <w:rFonts w:ascii="標楷體" w:eastAsia="標楷體" w:hAnsi="標楷體" w:cs="標楷體"/>
          <w:sz w:val="28"/>
          <w:szCs w:val="28"/>
        </w:rPr>
        <w:t>致影響參與學習活動</w:t>
      </w:r>
      <w:r>
        <w:rPr>
          <w:rFonts w:ascii="標楷體" w:eastAsia="標楷體" w:hAnsi="標楷體" w:cs="標楷體"/>
          <w:sz w:val="28"/>
          <w:szCs w:val="28"/>
        </w:rPr>
        <w:t>。</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前項所定語言障礙，其鑑定基準依下列各款規定之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一、語音異常：產出之語音有省略、替代、添加、歪曲、聲調錯誤或含糊不清等現象，致影響說話清晰度。</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二、嗓音異常：說話之音質、音調、音量或共鳴與個人之性別、年齡或所處文化環境不相稱，致影響口語溝通效能。</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w:t>
      </w:r>
      <w:proofErr w:type="gramStart"/>
      <w:r>
        <w:rPr>
          <w:rFonts w:ascii="標楷體" w:eastAsia="標楷體" w:hAnsi="標楷體" w:cs="標楷體"/>
          <w:color w:val="000000"/>
          <w:sz w:val="28"/>
          <w:szCs w:val="28"/>
        </w:rPr>
        <w:t>語暢異常</w:t>
      </w:r>
      <w:proofErr w:type="gramEnd"/>
      <w:r>
        <w:rPr>
          <w:rFonts w:ascii="標楷體" w:eastAsia="標楷體" w:hAnsi="標楷體" w:cs="標楷體"/>
          <w:color w:val="000000"/>
          <w:sz w:val="28"/>
          <w:szCs w:val="28"/>
        </w:rPr>
        <w:t>：說話之流暢度異常，包括聲音或音節重複、拉長、中斷或用力，</w:t>
      </w:r>
      <w:proofErr w:type="gramStart"/>
      <w:r>
        <w:rPr>
          <w:rFonts w:ascii="標楷體" w:eastAsia="標楷體" w:hAnsi="標楷體" w:cs="標楷體"/>
          <w:color w:val="000000"/>
          <w:sz w:val="28"/>
          <w:szCs w:val="28"/>
        </w:rPr>
        <w:t>及語速過</w:t>
      </w:r>
      <w:proofErr w:type="gramEnd"/>
      <w:r>
        <w:rPr>
          <w:rFonts w:ascii="標楷體" w:eastAsia="標楷體" w:hAnsi="標楷體" w:cs="標楷體"/>
          <w:color w:val="000000"/>
          <w:sz w:val="28"/>
          <w:szCs w:val="28"/>
        </w:rPr>
        <w:t>快或急促不清、不適當停頓等口吃</w:t>
      </w:r>
      <w:proofErr w:type="gramStart"/>
      <w:r>
        <w:rPr>
          <w:rFonts w:ascii="標楷體" w:eastAsia="標楷體" w:hAnsi="標楷體" w:cs="標楷體"/>
          <w:color w:val="000000"/>
          <w:sz w:val="28"/>
          <w:szCs w:val="28"/>
        </w:rPr>
        <w:t>或迅</w:t>
      </w:r>
      <w:proofErr w:type="gramEnd"/>
      <w:r>
        <w:rPr>
          <w:rFonts w:ascii="標楷體" w:eastAsia="標楷體" w:hAnsi="標楷體" w:cs="標楷體"/>
          <w:color w:val="000000"/>
          <w:sz w:val="28"/>
          <w:szCs w:val="28"/>
        </w:rPr>
        <w:t>吃現象，致影響口語溝通效能。</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四、發展性語言異常：語言理解、語言表達或二者較同年齡者有顯著偏差或低落，其障礙非因感官、智能、情緒或文化刺激等因素直接造成之結果</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第七條　　本法第三條第五款所稱肢體障礙，指上肢、下肢、軀幹或平衡之機能損傷，致影響參與學習活動。</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前項所定肢體障礙，其相關疾病應由專科醫師診斷；其鑑定基準依下列各款規定之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一、先天性肢體功能障礙。</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二、疾病或意外導致長期持續性肢體功能障礙。</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第八條　　本法第三條第六款</w:t>
      </w:r>
      <w:proofErr w:type="gramStart"/>
      <w:r>
        <w:rPr>
          <w:rFonts w:ascii="標楷體" w:eastAsia="標楷體" w:hAnsi="標楷體" w:cs="標楷體"/>
          <w:sz w:val="28"/>
          <w:szCs w:val="28"/>
        </w:rPr>
        <w:t>所稱腦性</w:t>
      </w:r>
      <w:proofErr w:type="gramEnd"/>
      <w:r>
        <w:rPr>
          <w:rFonts w:ascii="標楷體" w:eastAsia="標楷體" w:hAnsi="標楷體" w:cs="標楷體"/>
          <w:sz w:val="28"/>
          <w:szCs w:val="28"/>
        </w:rPr>
        <w:t>麻痺，指因腦部早期發育中受到</w:t>
      </w:r>
      <w:r>
        <w:rPr>
          <w:rFonts w:ascii="標楷體" w:eastAsia="標楷體" w:hAnsi="標楷體" w:cs="標楷體"/>
          <w:sz w:val="28"/>
          <w:szCs w:val="28"/>
        </w:rPr>
        <w:lastRenderedPageBreak/>
        <w:t>非進行性、非暫時性之腦部損傷，造成動作、平衡及姿勢發展障礙，經常伴隨感覺、知覺、認知、溝通及行為等障礙，致影響參與學習活動。</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前項所定腦性麻痺，應經由該專科醫師診斷。</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第九條　　本法第三條第七款所稱身體病弱，指</w:t>
      </w:r>
      <w:proofErr w:type="gramStart"/>
      <w:r>
        <w:rPr>
          <w:rFonts w:ascii="標楷體" w:eastAsia="標楷體" w:hAnsi="標楷體" w:cs="標楷體"/>
          <w:sz w:val="28"/>
          <w:szCs w:val="28"/>
        </w:rPr>
        <w:t>罹</w:t>
      </w:r>
      <w:proofErr w:type="gramEnd"/>
      <w:r>
        <w:rPr>
          <w:rFonts w:ascii="標楷體" w:eastAsia="標楷體" w:hAnsi="標楷體" w:cs="標楷體"/>
          <w:sz w:val="28"/>
          <w:szCs w:val="28"/>
        </w:rPr>
        <w:t>患疾病，且體能衰弱，需長期療養，致影響參與學習活動。</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前項所定身體病弱，其相關疾病應經由該專科醫師診斷。</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第十條　　本法第三條第八款所稱情緒行為障礙，指長期情緒或行為表現顯著</w:t>
      </w:r>
      <w:r>
        <w:rPr>
          <w:rFonts w:ascii="標楷體" w:eastAsia="標楷體" w:hAnsi="標楷體" w:cs="標楷體"/>
          <w:sz w:val="28"/>
          <w:szCs w:val="28"/>
        </w:rPr>
        <w:t>異常，致嚴重影響學校適應；其障礙非因智能、感官或健康等因素直接造成之結果。</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前項情緒行為障礙之症狀，包括精神性疾患、情感性疾患、畏懼性疾患、焦慮性疾患、注意力缺陷過動症、或有其他持續性之情緒或行為問題。</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第一項所定情緒行為障礙，其鑑定基準依下列各款規定：</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一、情緒或行為表現顯著異於其同年齡或社會文化之常態者，得參考精神科醫師之診斷認定之。</w:t>
      </w:r>
    </w:p>
    <w:p w:rsidR="00FB4233" w:rsidRDefault="00E20C74">
      <w:pPr>
        <w:pStyle w:val="Standarduser"/>
        <w:tabs>
          <w:tab w:val="left" w:pos="3964"/>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二、在學校顯現學業、社會、人際、生活或職業學習等適應有顯著困難。</w:t>
      </w:r>
    </w:p>
    <w:p w:rsidR="00FB4233" w:rsidRDefault="00E20C74">
      <w:pPr>
        <w:pStyle w:val="Standarduser"/>
        <w:tabs>
          <w:tab w:val="left" w:pos="3964"/>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三、除學校外，在家庭、社區、社會或任</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情境中顯現適應困難。</w:t>
      </w:r>
    </w:p>
    <w:p w:rsidR="00FB4233" w:rsidRDefault="00E20C74">
      <w:pPr>
        <w:pStyle w:val="Standarduser"/>
        <w:tabs>
          <w:tab w:val="left" w:pos="3964"/>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四、前二款之困難經評估後確定一般教育及輔導所</w:t>
      </w:r>
      <w:r>
        <w:rPr>
          <w:rFonts w:ascii="標楷體" w:eastAsia="標楷體" w:hAnsi="標楷體" w:cs="標楷體"/>
          <w:color w:val="000000"/>
          <w:sz w:val="28"/>
          <w:szCs w:val="28"/>
        </w:rPr>
        <w:t>提供之介入成效有限，仍有特殊教育需求。</w:t>
      </w:r>
    </w:p>
    <w:p w:rsidR="00FB4233" w:rsidRDefault="00E20C74">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第十一條　　本法第三條第九款所稱學習障礙，統稱神經心理功能異常而顯現出注意、記憶、理解、知覺、知覺動作、推理等能力有問題，致在聽、說、讀、</w:t>
      </w:r>
      <w:proofErr w:type="gramStart"/>
      <w:r>
        <w:rPr>
          <w:rFonts w:ascii="標楷體" w:eastAsia="標楷體" w:hAnsi="標楷體" w:cs="標楷體"/>
          <w:sz w:val="28"/>
          <w:szCs w:val="28"/>
        </w:rPr>
        <w:t>寫或算等</w:t>
      </w:r>
      <w:proofErr w:type="gramEnd"/>
      <w:r>
        <w:rPr>
          <w:rFonts w:ascii="標楷體" w:eastAsia="標楷體" w:hAnsi="標楷體" w:cs="標楷體"/>
          <w:sz w:val="28"/>
          <w:szCs w:val="28"/>
        </w:rPr>
        <w:t>學習上有顯著困難者；其障礙並非因感官、智能、情緒等障礙因素或文化刺激不足、教學不當等環境因素所直接造成之結果。</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前項所定學習障礙，其鑑定基準依下列各款規定：</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一、智力正常或在正常程度以上。</w:t>
      </w:r>
    </w:p>
    <w:p w:rsidR="00FB4233" w:rsidRDefault="00E20C74">
      <w:pPr>
        <w:pStyle w:val="Standarduser"/>
        <w:tabs>
          <w:tab w:val="left" w:pos="3827"/>
        </w:tabs>
        <w:overflowPunct w:val="0"/>
        <w:spacing w:line="460" w:lineRule="exact"/>
        <w:ind w:left="198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二、個人內在能力有顯著差異。</w:t>
      </w:r>
    </w:p>
    <w:p w:rsidR="00FB4233" w:rsidRDefault="00E20C74">
      <w:pPr>
        <w:pStyle w:val="Standarduser"/>
        <w:tabs>
          <w:tab w:val="left" w:pos="4054"/>
          <w:tab w:val="left" w:pos="4476"/>
        </w:tabs>
        <w:overflowPunct w:val="0"/>
        <w:spacing w:line="460" w:lineRule="exact"/>
        <w:ind w:left="221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三、聽覺理解、口語表達、識字、閱讀理解、書寫、數學運算等學習表現有顯著困難，且經確定一般教育所提供之介入，仍難有效改善。</w:t>
      </w:r>
    </w:p>
    <w:p w:rsidR="00FB4233" w:rsidRDefault="00E20C74">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第十二條　　本法第三條第十款所稱自閉症，指因神經心理功能異常而顯現出溝通、社會互動、行為及興趣表現上有嚴重問題，致在學習及生活適應上有顯著困難。</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前項所定自閉症，其鑑定基準依下列各款規定：</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一、顯著社會溝通及社會互動困難。</w:t>
      </w:r>
    </w:p>
    <w:p w:rsidR="00FB4233" w:rsidRDefault="00E20C74">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二、表現出固定而有限之行為模式及興趣。</w:t>
      </w:r>
    </w:p>
    <w:p w:rsidR="00FB4233" w:rsidRDefault="00E20C74">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第十三條　　本法第三條第十一款所稱多重障礙，指包括二種以上不具連帶關係造成之障礙，致影響學習。</w:t>
      </w:r>
    </w:p>
    <w:p w:rsidR="00FB4233" w:rsidRDefault="00E20C74">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前項所定多重障礙，</w:t>
      </w:r>
      <w:r>
        <w:rPr>
          <w:rFonts w:ascii="標楷體" w:eastAsia="標楷體" w:hAnsi="標楷體" w:cs="標楷體"/>
          <w:color w:val="000000"/>
          <w:sz w:val="28"/>
          <w:szCs w:val="28"/>
        </w:rPr>
        <w:t>其鑑定應參照本辦法其他各類障礙之鑑定基準。</w:t>
      </w:r>
    </w:p>
    <w:p w:rsidR="00FB4233" w:rsidRDefault="00E20C74">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第十四條　　本法第三條第十二款所稱發展遲緩，指未滿六歲之兒童，因生理、心理或社會環境因素，在知覺、動作、認知、語言溝通、社會情緒或生活自理等方面之發展較同年齡者顯著落後，且其障礙類別無法確定。</w:t>
      </w:r>
    </w:p>
    <w:p w:rsidR="00FB4233" w:rsidRDefault="00E20C74">
      <w:pPr>
        <w:pStyle w:val="Standarduser"/>
        <w:tabs>
          <w:tab w:val="left" w:pos="2034"/>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前項所定發展遲緩，其鑑定依兒童發展及養育環境評估等資料，綜合研判之。</w:t>
      </w:r>
    </w:p>
    <w:p w:rsidR="00FB4233" w:rsidRDefault="00E20C74">
      <w:pPr>
        <w:pStyle w:val="Default"/>
        <w:tabs>
          <w:tab w:val="left" w:pos="3392"/>
        </w:tabs>
        <w:overflowPunct w:val="0"/>
        <w:spacing w:line="460" w:lineRule="exact"/>
        <w:ind w:left="1134" w:hanging="1077"/>
        <w:jc w:val="both"/>
        <w:rPr>
          <w:rFonts w:ascii="標楷體" w:eastAsia="標楷體" w:hAnsi="標楷體" w:cs="標楷體"/>
          <w:sz w:val="28"/>
          <w:szCs w:val="28"/>
        </w:rPr>
      </w:pPr>
      <w:r>
        <w:rPr>
          <w:rFonts w:ascii="標楷體" w:eastAsia="標楷體" w:hAnsi="標楷體" w:cs="標楷體"/>
          <w:sz w:val="28"/>
          <w:szCs w:val="28"/>
        </w:rPr>
        <w:t>第十五條　　本法第三條第十三款所稱其他障礙，指在學習與生活有顯著困難，且其障礙類別無法歸類於第三條至前條類別。</w:t>
      </w:r>
    </w:p>
    <w:p w:rsidR="00FB4233" w:rsidRDefault="00E20C74">
      <w:pPr>
        <w:pStyle w:val="Standarduser"/>
        <w:tabs>
          <w:tab w:val="left" w:pos="3034"/>
        </w:tabs>
        <w:overflowPunct w:val="0"/>
        <w:spacing w:line="460" w:lineRule="exact"/>
        <w:ind w:left="1191"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前項所定其他障礙，相關疾病應經由該專科醫師診斷；其鑑定除醫師診斷外，應評估其特殊教育需求後綜合研判之。</w:t>
      </w:r>
    </w:p>
    <w:p w:rsidR="00FB4233" w:rsidRDefault="00E20C74">
      <w:pPr>
        <w:pStyle w:val="Default"/>
        <w:tabs>
          <w:tab w:val="left" w:pos="3449"/>
        </w:tabs>
        <w:overflowPunct w:val="0"/>
        <w:spacing w:line="460" w:lineRule="exact"/>
        <w:ind w:left="1191" w:hanging="1134"/>
        <w:jc w:val="both"/>
        <w:rPr>
          <w:rFonts w:ascii="標楷體" w:eastAsia="標楷體" w:hAnsi="標楷體" w:cs="標楷體"/>
          <w:sz w:val="28"/>
          <w:szCs w:val="28"/>
        </w:rPr>
      </w:pPr>
      <w:r>
        <w:rPr>
          <w:rFonts w:ascii="標楷體" w:eastAsia="標楷體" w:hAnsi="標楷體" w:cs="標楷體"/>
          <w:sz w:val="28"/>
          <w:szCs w:val="28"/>
        </w:rPr>
        <w:t>第十六條　　本法第四條第一款所稱一般智能資賦優異，指在記憶、理解、分析、綜合、推理及評鑑等方面，較同年齡者具有卓越潛能或傑出表現。</w:t>
      </w:r>
    </w:p>
    <w:p w:rsidR="00FB4233" w:rsidRDefault="00E20C74">
      <w:pPr>
        <w:pStyle w:val="Standarduser"/>
        <w:tabs>
          <w:tab w:val="left" w:pos="3034"/>
        </w:tabs>
        <w:overflowPunct w:val="0"/>
        <w:spacing w:line="460" w:lineRule="exact"/>
        <w:ind w:left="1191"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前項所定一般智能資賦優異，其鑑定基準依下列各款規定：</w:t>
      </w:r>
    </w:p>
    <w:p w:rsidR="00FB4233" w:rsidRDefault="00E20C74">
      <w:pPr>
        <w:pStyle w:val="Standarduser"/>
        <w:overflowPunct w:val="0"/>
        <w:spacing w:line="460" w:lineRule="exact"/>
        <w:ind w:left="232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一、個別智力測驗評量結果在平均數正二個標準差或百分等級九十七以上。</w:t>
      </w:r>
    </w:p>
    <w:p w:rsidR="00FB4233" w:rsidRDefault="00E20C74">
      <w:pPr>
        <w:pStyle w:val="Standarduser"/>
        <w:overflowPunct w:val="0"/>
        <w:spacing w:line="460" w:lineRule="exact"/>
        <w:ind w:left="232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二、經專家學者、指導教師或家長觀察推薦，並檢附學習特質與表現卓越或傑出等之具體資料。</w:t>
      </w:r>
    </w:p>
    <w:p w:rsidR="00FB4233" w:rsidRDefault="00E20C74">
      <w:pPr>
        <w:pStyle w:val="Default"/>
        <w:tabs>
          <w:tab w:val="left" w:pos="3449"/>
        </w:tabs>
        <w:overflowPunct w:val="0"/>
        <w:spacing w:line="460" w:lineRule="exact"/>
        <w:ind w:left="1191" w:hanging="1134"/>
        <w:jc w:val="both"/>
        <w:rPr>
          <w:rFonts w:ascii="標楷體" w:eastAsia="標楷體" w:hAnsi="標楷體" w:cs="標楷體"/>
          <w:sz w:val="28"/>
          <w:szCs w:val="28"/>
        </w:rPr>
      </w:pPr>
      <w:r>
        <w:rPr>
          <w:rFonts w:ascii="標楷體" w:eastAsia="標楷體" w:hAnsi="標楷體" w:cs="標楷體"/>
          <w:sz w:val="28"/>
          <w:szCs w:val="28"/>
        </w:rPr>
        <w:t>第十七條　　本法第四條第二款所稱學術性向資賦優異，指在語文、數學、社</w:t>
      </w:r>
      <w:r>
        <w:rPr>
          <w:rFonts w:ascii="標楷體" w:eastAsia="標楷體" w:hAnsi="標楷體" w:cs="標楷體"/>
          <w:sz w:val="28"/>
          <w:szCs w:val="28"/>
        </w:rPr>
        <w:t>會科學或自然科學等學術領域，較同年齡者具有卓越潛能或傑出表現。</w:t>
      </w:r>
    </w:p>
    <w:p w:rsidR="00FB4233" w:rsidRDefault="00E20C74">
      <w:pPr>
        <w:pStyle w:val="Standarduser"/>
        <w:tabs>
          <w:tab w:val="left" w:pos="3034"/>
        </w:tabs>
        <w:overflowPunct w:val="0"/>
        <w:spacing w:line="460" w:lineRule="exact"/>
        <w:ind w:left="1191"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前項所定學術性向資賦優異，其鑑定基準依下列各款規定之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一、前項任</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領域學術性向或成就測驗得分在平均數正二個標準差或百分等級九十七以上，並經專家學者、指導教師或家長觀察推薦，及檢附專長學科學習特質與表現卓越或傑出等之具體資料。</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二、參加政府機關或學術研究機構舉辦之國際性或全國性有關學科競賽或展覽活動表現特別優異，獲前三等獎項。</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三、參加學術研究單位長期輔導之有關學科研習活動，成就特別優異，經主辦單位推薦。</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四、獨立研究成果優異並刊載於學術性刊物，經專家學者或指導教師推薦，並檢附具體資料。</w:t>
      </w:r>
    </w:p>
    <w:p w:rsidR="00FB4233" w:rsidRDefault="00E20C74">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第十八條　　本法第四條第三款所稱藝術才能資賦優異，指在音樂、美術、舞蹈或戲劇等藝術方面，較同年齡者具有卓越潛能或傑出表現。</w:t>
      </w:r>
    </w:p>
    <w:p w:rsidR="00FB4233" w:rsidRDefault="00E20C74">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前項所定藝術才能資賦優異，其鑑定基準依下列各款規定之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一、任</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領域藝術性向測驗得分在平均數正二個標準差或百分等級九十七以上，或專長領域能力評量表現優異，並經專家學者、指導教師或家長觀察推薦，及檢附藝術學習表現卓越或傑出等之具體資料。</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二、參加政府機關或學術研究機構舉辦之國際性或全國性各該類科競賽表現</w:t>
      </w:r>
      <w:r>
        <w:rPr>
          <w:rFonts w:ascii="標楷體" w:eastAsia="標楷體" w:hAnsi="標楷體" w:cs="標楷體"/>
          <w:color w:val="000000"/>
          <w:sz w:val="28"/>
          <w:szCs w:val="28"/>
        </w:rPr>
        <w:t>特別優異，獲前三等獎項。</w:t>
      </w:r>
    </w:p>
    <w:p w:rsidR="00FB4233" w:rsidRDefault="00E20C74">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第十九條　　本法第四條第四款所稱創造能力資賦優異，指運用心智能</w:t>
      </w:r>
      <w:r>
        <w:rPr>
          <w:rFonts w:ascii="標楷體" w:eastAsia="標楷體" w:hAnsi="標楷體" w:cs="標楷體"/>
          <w:sz w:val="28"/>
          <w:szCs w:val="28"/>
        </w:rPr>
        <w:lastRenderedPageBreak/>
        <w:t>力，產生創新及建設性之作品、發明或問題解決表現，較同年齡者具有卓越潛能或傑出表現。</w:t>
      </w:r>
    </w:p>
    <w:p w:rsidR="00FB4233" w:rsidRDefault="00E20C74">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前項所定創造能力資賦優異，其鑑定基準依下列各款規定之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一、創造能力測驗得分在平均數正二個標準差或百分等級九十七以上，或實作評量表現優異，並經專家學者、指導教師或家長觀察推薦，及檢附創造才能特質與表現卓越或傑出等之具體資料。</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二、參加政府機關或學術研究機構舉辦之國際性或全國性創造發明競賽表現特別優異，獲前三等獎項。</w:t>
      </w:r>
    </w:p>
    <w:p w:rsidR="00FB4233" w:rsidRDefault="00E20C74">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第二十條　　本法第四條第五款所稱領導能力資賦優異，指具有優異之計畫、組織、溝通、協調、決策、評鑑等能力，而在處理團體事務上，較同年齡者有卓越潛能或傑出表現。</w:t>
      </w:r>
    </w:p>
    <w:p w:rsidR="00FB4233" w:rsidRDefault="00E20C74">
      <w:pPr>
        <w:pStyle w:val="Standarduser"/>
        <w:tabs>
          <w:tab w:val="left" w:pos="3034"/>
        </w:tabs>
        <w:overflowPunct w:val="0"/>
        <w:spacing w:line="460" w:lineRule="exact"/>
        <w:ind w:left="1191" w:firstLine="510"/>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前項所定領導能力資賦優異，其鑑定基準依下列各款規定：</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一、領導才能測驗得分在平均數正二個標準差或百分等級九十七以上。</w:t>
      </w:r>
    </w:p>
    <w:p w:rsidR="00FB4233" w:rsidRDefault="00E20C74">
      <w:pPr>
        <w:pStyle w:val="Standarduser"/>
        <w:tabs>
          <w:tab w:val="left" w:pos="4111"/>
        </w:tabs>
        <w:overflowPunct w:val="0"/>
        <w:spacing w:line="460" w:lineRule="exact"/>
        <w:ind w:left="226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二、在領導實務具優異表現，經專家學者、指導教師、家長或同儕觀察推薦，並檢附領導才能特質與表現傑出等之具體資料。</w:t>
      </w:r>
    </w:p>
    <w:p w:rsidR="00FB4233" w:rsidRDefault="00E20C74">
      <w:pPr>
        <w:pStyle w:val="Default"/>
        <w:tabs>
          <w:tab w:val="left" w:pos="3675"/>
        </w:tabs>
        <w:overflowPunct w:val="0"/>
        <w:spacing w:line="460" w:lineRule="exact"/>
        <w:ind w:left="1417" w:hanging="1417"/>
        <w:jc w:val="both"/>
        <w:rPr>
          <w:rFonts w:ascii="標楷體" w:eastAsia="標楷體" w:hAnsi="標楷體" w:cs="標楷體"/>
          <w:sz w:val="28"/>
          <w:szCs w:val="28"/>
        </w:rPr>
      </w:pPr>
      <w:r>
        <w:rPr>
          <w:rFonts w:ascii="標楷體" w:eastAsia="標楷體" w:hAnsi="標楷體" w:cs="標楷體"/>
          <w:sz w:val="28"/>
          <w:szCs w:val="28"/>
        </w:rPr>
        <w:t>第二十一條　　本法第四條第六款所稱其他特殊才能資賦優異，指在肢體動作、工具運用、資訊、棋藝、</w:t>
      </w:r>
      <w:proofErr w:type="gramStart"/>
      <w:r>
        <w:rPr>
          <w:rFonts w:ascii="標楷體" w:eastAsia="標楷體" w:hAnsi="標楷體" w:cs="標楷體"/>
          <w:sz w:val="28"/>
          <w:szCs w:val="28"/>
        </w:rPr>
        <w:t>牌藝等</w:t>
      </w:r>
      <w:proofErr w:type="gramEnd"/>
      <w:r>
        <w:rPr>
          <w:rFonts w:ascii="標楷體" w:eastAsia="標楷體" w:hAnsi="標楷體" w:cs="標楷體"/>
          <w:sz w:val="28"/>
          <w:szCs w:val="28"/>
        </w:rPr>
        <w:t>能力，較同年齡者具有卓越潛</w:t>
      </w:r>
      <w:r>
        <w:rPr>
          <w:rFonts w:ascii="標楷體" w:eastAsia="標楷體" w:hAnsi="標楷體" w:cs="標楷體"/>
          <w:sz w:val="28"/>
          <w:szCs w:val="28"/>
        </w:rPr>
        <w:t>能或傑出表現。</w:t>
      </w:r>
    </w:p>
    <w:p w:rsidR="00FB4233" w:rsidRDefault="00E20C74">
      <w:pPr>
        <w:pStyle w:val="Standarduser"/>
        <w:tabs>
          <w:tab w:val="left" w:pos="3260"/>
        </w:tabs>
        <w:overflowPunct w:val="0"/>
        <w:spacing w:line="460" w:lineRule="exact"/>
        <w:ind w:left="1417"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前項所定其他特殊才能資賦優異，其鑑定基準依下列各款規定：</w:t>
      </w:r>
    </w:p>
    <w:p w:rsidR="00FB4233" w:rsidRDefault="00E20C74">
      <w:pPr>
        <w:pStyle w:val="Standarduser"/>
        <w:tabs>
          <w:tab w:val="left" w:pos="4394"/>
        </w:tabs>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一、參加政府機關或學術研究機構舉辦之國際性或全國性技藝競賽表現特別優異，獲前三等獎項。</w:t>
      </w:r>
    </w:p>
    <w:p w:rsidR="00FB4233" w:rsidRDefault="00E20C74">
      <w:pPr>
        <w:pStyle w:val="Standarduser"/>
        <w:tabs>
          <w:tab w:val="left" w:pos="4394"/>
        </w:tabs>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二、經專家學者、指導教師或家長觀察推薦，並檢附專長才能特質與表現卓越或傑出等之具體資料。</w:t>
      </w:r>
    </w:p>
    <w:p w:rsidR="00FB4233" w:rsidRDefault="00E20C74">
      <w:pPr>
        <w:pStyle w:val="Default"/>
        <w:tabs>
          <w:tab w:val="left" w:pos="3675"/>
        </w:tabs>
        <w:overflowPunct w:val="0"/>
        <w:spacing w:line="460" w:lineRule="exact"/>
        <w:ind w:left="1417" w:hanging="1417"/>
        <w:jc w:val="both"/>
        <w:rPr>
          <w:rFonts w:ascii="標楷體" w:eastAsia="標楷體" w:hAnsi="標楷體" w:cs="標楷體"/>
          <w:sz w:val="28"/>
          <w:szCs w:val="28"/>
        </w:rPr>
      </w:pPr>
      <w:r>
        <w:rPr>
          <w:rFonts w:ascii="標楷體" w:eastAsia="標楷體" w:hAnsi="標楷體" w:cs="標楷體"/>
          <w:sz w:val="28"/>
          <w:szCs w:val="28"/>
        </w:rPr>
        <w:t>第二十二條　　身心障礙及處於離島、偏遠地區，或因經濟、文化或族</w:t>
      </w:r>
      <w:r>
        <w:rPr>
          <w:rFonts w:ascii="標楷體" w:eastAsia="標楷體" w:hAnsi="標楷體" w:cs="標楷體"/>
          <w:sz w:val="28"/>
          <w:szCs w:val="28"/>
        </w:rPr>
        <w:lastRenderedPageBreak/>
        <w:t>群致需要協助之資賦優異學生之鑑定，其程序、期程、評量項目及工具之調整方式，依下列規定辦理：</w:t>
      </w:r>
    </w:p>
    <w:p w:rsidR="00FB4233" w:rsidRDefault="00E20C74">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一、為加強本條所定學生之鑑定，各級主管機關得因應學生身心特質及其需求、文化差異、族群特性或地區限制，彈性調整鑑定程序。</w:t>
      </w:r>
    </w:p>
    <w:p w:rsidR="00FB4233" w:rsidRDefault="00E20C74">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二、各級主管機關為處理本條所定學生之鑑定，必要時得延長鑑定期程，或召開各級主管機關特殊教育學生鑑定及就學輔導會（以下簡稱</w:t>
      </w:r>
      <w:proofErr w:type="gramStart"/>
      <w:r>
        <w:rPr>
          <w:rFonts w:ascii="標楷體" w:eastAsia="標楷體" w:hAnsi="標楷體" w:cs="標楷體"/>
          <w:color w:val="000000"/>
          <w:sz w:val="28"/>
          <w:szCs w:val="28"/>
        </w:rPr>
        <w:t>鑑</w:t>
      </w:r>
      <w:proofErr w:type="gramEnd"/>
      <w:r>
        <w:rPr>
          <w:rFonts w:ascii="標楷體" w:eastAsia="標楷體" w:hAnsi="標楷體" w:cs="標楷體"/>
          <w:color w:val="000000"/>
          <w:sz w:val="28"/>
          <w:szCs w:val="28"/>
        </w:rPr>
        <w:t>輔會）臨時會。</w:t>
      </w:r>
    </w:p>
    <w:p w:rsidR="00FB4233" w:rsidRDefault="00E20C74">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三、學生參與特殊教育學生鑑定無法適用既有評量工具時，應依其個別需求，調整評量工具之內容或分數</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計方式，或改以其他評量項目進行評估。</w:t>
      </w:r>
    </w:p>
    <w:p w:rsidR="00FB4233" w:rsidRDefault="00E20C74">
      <w:pPr>
        <w:pStyle w:val="Default"/>
        <w:tabs>
          <w:tab w:val="left" w:pos="3732"/>
        </w:tabs>
        <w:overflowPunct w:val="0"/>
        <w:spacing w:line="460" w:lineRule="exact"/>
        <w:ind w:left="1474" w:hanging="1474"/>
        <w:jc w:val="both"/>
        <w:rPr>
          <w:rFonts w:ascii="標楷體" w:eastAsia="標楷體" w:hAnsi="標楷體" w:cs="標楷體"/>
          <w:sz w:val="28"/>
          <w:szCs w:val="28"/>
        </w:rPr>
      </w:pPr>
      <w:r>
        <w:rPr>
          <w:rFonts w:ascii="標楷體" w:eastAsia="標楷體" w:hAnsi="標楷體" w:cs="標楷體"/>
          <w:sz w:val="28"/>
          <w:szCs w:val="28"/>
        </w:rPr>
        <w:t>第二十三條　　特殊教育學生及幼兒之鑑定，應依轉</w:t>
      </w:r>
      <w:proofErr w:type="gramStart"/>
      <w:r>
        <w:rPr>
          <w:rFonts w:ascii="標楷體" w:eastAsia="標楷體" w:hAnsi="標楷體" w:cs="標楷體"/>
          <w:sz w:val="28"/>
          <w:szCs w:val="28"/>
        </w:rPr>
        <w:t>介</w:t>
      </w:r>
      <w:proofErr w:type="gramEnd"/>
      <w:r>
        <w:rPr>
          <w:rFonts w:ascii="標楷體" w:eastAsia="標楷體" w:hAnsi="標楷體" w:cs="標楷體"/>
          <w:sz w:val="28"/>
          <w:szCs w:val="28"/>
        </w:rPr>
        <w:t>、申請或推薦，蒐集相關資料，實施初步類別研判、教育需求評估及綜合研判後，完</w:t>
      </w:r>
      <w:r>
        <w:rPr>
          <w:rFonts w:ascii="標楷體" w:eastAsia="標楷體" w:hAnsi="標楷體" w:cs="標楷體"/>
          <w:sz w:val="28"/>
          <w:szCs w:val="28"/>
        </w:rPr>
        <w:t>成包括教育安置建議及所需相關服務之評估報告。</w:t>
      </w:r>
    </w:p>
    <w:p w:rsidR="00FB4233" w:rsidRDefault="00E20C74">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前項鑑定，各級主管機關</w:t>
      </w:r>
      <w:proofErr w:type="gramStart"/>
      <w:r>
        <w:rPr>
          <w:rFonts w:ascii="標楷體" w:eastAsia="標楷體" w:hAnsi="標楷體" w:cs="標楷體"/>
          <w:color w:val="000000"/>
          <w:sz w:val="28"/>
          <w:szCs w:val="28"/>
        </w:rPr>
        <w:t>鑑</w:t>
      </w:r>
      <w:proofErr w:type="gramEnd"/>
      <w:r>
        <w:rPr>
          <w:rFonts w:ascii="標楷體" w:eastAsia="標楷體" w:hAnsi="標楷體" w:cs="標楷體"/>
          <w:color w:val="000000"/>
          <w:sz w:val="28"/>
          <w:szCs w:val="28"/>
        </w:rPr>
        <w:t>輔會應於每學年度上、下學期至少召開一次會議辦理，必要時得召開臨時會議。</w:t>
      </w:r>
    </w:p>
    <w:p w:rsidR="00FB4233" w:rsidRDefault="00E20C74">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國民教育階段資賦優異學生之鑑定時程，應</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入學後鑑定。但直轄市、縣（市）主管機關因專業考量、資源分配或其他特殊需求而有入學前鑑定之必要者，應經</w:t>
      </w:r>
      <w:proofErr w:type="gramStart"/>
      <w:r>
        <w:rPr>
          <w:rFonts w:ascii="標楷體" w:eastAsia="標楷體" w:hAnsi="標楷體" w:cs="標楷體"/>
          <w:color w:val="000000"/>
          <w:sz w:val="28"/>
          <w:szCs w:val="28"/>
        </w:rPr>
        <w:t>鑑</w:t>
      </w:r>
      <w:proofErr w:type="gramEnd"/>
      <w:r>
        <w:rPr>
          <w:rFonts w:ascii="標楷體" w:eastAsia="標楷體" w:hAnsi="標楷體" w:cs="標楷體"/>
          <w:color w:val="000000"/>
          <w:sz w:val="28"/>
          <w:szCs w:val="28"/>
        </w:rPr>
        <w:t>輔會審議通過後，由主管機關核定實施，並報教育部備查。</w:t>
      </w:r>
    </w:p>
    <w:p w:rsidR="00FB4233" w:rsidRDefault="00E20C74">
      <w:pPr>
        <w:pStyle w:val="Default"/>
        <w:tabs>
          <w:tab w:val="left" w:pos="3732"/>
        </w:tabs>
        <w:overflowPunct w:val="0"/>
        <w:spacing w:line="460" w:lineRule="exact"/>
        <w:ind w:left="1474" w:hanging="1474"/>
        <w:jc w:val="both"/>
        <w:rPr>
          <w:rFonts w:ascii="標楷體" w:eastAsia="標楷體" w:hAnsi="標楷體" w:cs="標楷體"/>
          <w:sz w:val="28"/>
          <w:szCs w:val="28"/>
        </w:rPr>
      </w:pPr>
      <w:r>
        <w:rPr>
          <w:rFonts w:ascii="標楷體" w:eastAsia="標楷體" w:hAnsi="標楷體" w:cs="標楷體"/>
          <w:sz w:val="28"/>
          <w:szCs w:val="28"/>
        </w:rPr>
        <w:t>第二十四條　　身心障礙學生及幼兒之教育需求評估，應包括健康狀況、感官功能、知覺動作、生活自理、認知、溝通、情緒、社會行為、領域（科目）學習等。</w:t>
      </w:r>
    </w:p>
    <w:p w:rsidR="00FB4233" w:rsidRDefault="00E20C74">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資賦優異學生之教育需求評估，應</w:t>
      </w:r>
      <w:r>
        <w:rPr>
          <w:rFonts w:ascii="標楷體" w:eastAsia="標楷體" w:hAnsi="標楷體" w:cs="標楷體"/>
          <w:color w:val="000000"/>
          <w:sz w:val="28"/>
          <w:szCs w:val="28"/>
        </w:rPr>
        <w:t>包括認知或情意特質、社會適應、性向、專長領域</w:t>
      </w:r>
      <w:r>
        <w:rPr>
          <w:rFonts w:ascii="標楷體" w:eastAsia="標楷體" w:hAnsi="標楷體" w:cs="標楷體"/>
          <w:color w:val="000000"/>
          <w:sz w:val="28"/>
          <w:szCs w:val="28"/>
        </w:rPr>
        <w:t>(</w:t>
      </w:r>
      <w:r>
        <w:rPr>
          <w:rFonts w:ascii="標楷體" w:eastAsia="標楷體" w:hAnsi="標楷體" w:cs="標楷體"/>
          <w:color w:val="000000"/>
          <w:sz w:val="28"/>
          <w:szCs w:val="28"/>
        </w:rPr>
        <w:t>科目</w:t>
      </w:r>
      <w:r>
        <w:rPr>
          <w:rFonts w:ascii="標楷體" w:eastAsia="標楷體" w:hAnsi="標楷體" w:cs="標楷體"/>
          <w:color w:val="000000"/>
          <w:sz w:val="28"/>
          <w:szCs w:val="28"/>
        </w:rPr>
        <w:t>)</w:t>
      </w:r>
      <w:r>
        <w:rPr>
          <w:rFonts w:ascii="標楷體" w:eastAsia="標楷體" w:hAnsi="標楷體" w:cs="標楷體"/>
          <w:color w:val="000000"/>
          <w:sz w:val="28"/>
          <w:szCs w:val="28"/>
        </w:rPr>
        <w:t>學習等。</w:t>
      </w:r>
    </w:p>
    <w:p w:rsidR="00FB4233" w:rsidRDefault="00E20C74">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前二項教育需求評估，應依學生或幼兒之需求選擇必要之評估項目，並於評估報告中註明優弱勢能力，所需之教育安置、課程調整、支持服務及轉銜輔導等建議。</w:t>
      </w:r>
    </w:p>
    <w:p w:rsidR="00FB4233" w:rsidRDefault="00E20C74">
      <w:pPr>
        <w:pStyle w:val="Default"/>
        <w:tabs>
          <w:tab w:val="left" w:pos="3732"/>
        </w:tabs>
        <w:overflowPunct w:val="0"/>
        <w:spacing w:line="460" w:lineRule="exact"/>
        <w:ind w:left="1474" w:hanging="1474"/>
        <w:jc w:val="both"/>
        <w:rPr>
          <w:rFonts w:ascii="標楷體" w:eastAsia="標楷體" w:hAnsi="標楷體" w:cs="標楷體"/>
          <w:sz w:val="28"/>
          <w:szCs w:val="28"/>
        </w:rPr>
      </w:pPr>
      <w:r>
        <w:rPr>
          <w:rFonts w:ascii="標楷體" w:eastAsia="標楷體" w:hAnsi="標楷體" w:cs="標楷體"/>
          <w:sz w:val="28"/>
          <w:szCs w:val="28"/>
        </w:rPr>
        <w:t>第二十五條　　各級主管機關辦理特殊教育學生及幼兒之重新評估，以跨教育階段為原則。</w:t>
      </w:r>
    </w:p>
    <w:p w:rsidR="00FB4233" w:rsidRDefault="00E20C74">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經</w:t>
      </w:r>
      <w:proofErr w:type="gramStart"/>
      <w:r>
        <w:rPr>
          <w:rFonts w:ascii="標楷體" w:eastAsia="標楷體" w:hAnsi="標楷體" w:cs="標楷體"/>
          <w:color w:val="000000"/>
          <w:sz w:val="28"/>
          <w:szCs w:val="28"/>
        </w:rPr>
        <w:t>鑑</w:t>
      </w:r>
      <w:proofErr w:type="gramEnd"/>
      <w:r>
        <w:rPr>
          <w:rFonts w:ascii="標楷體" w:eastAsia="標楷體" w:hAnsi="標楷體" w:cs="標楷體"/>
          <w:color w:val="000000"/>
          <w:sz w:val="28"/>
          <w:szCs w:val="28"/>
        </w:rPr>
        <w:t>輔會鑑定安置之特殊教育學生及幼兒，遇障礙情形改變、優弱勢能力改變、適應不良或其他特殊需求時，得由教師、法定代理人、實際照顧者或學生本人向學校、幼兒園或主管機關提出重新評估之申請；其鑑定程序，依第二十三條第一項規定辦理。主</w:t>
      </w:r>
      <w:r>
        <w:rPr>
          <w:rFonts w:ascii="標楷體" w:eastAsia="標楷體" w:hAnsi="標楷體" w:cs="標楷體"/>
          <w:color w:val="000000"/>
          <w:sz w:val="28"/>
          <w:szCs w:val="28"/>
        </w:rPr>
        <w:t>管機關並得視需要主動辦理重新評估。</w:t>
      </w:r>
    </w:p>
    <w:p w:rsidR="00FB4233" w:rsidRDefault="00E20C74">
      <w:pPr>
        <w:pStyle w:val="Standarduser"/>
        <w:tabs>
          <w:tab w:val="left" w:pos="3317"/>
        </w:tabs>
        <w:overflowPunct w:val="0"/>
        <w:spacing w:line="460" w:lineRule="exact"/>
        <w:ind w:left="147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前二項重新評估，應註明重新評估之原因；身心障礙學生或幼兒應檢附個別化教育（支持）計畫，資賦優異學生應檢附個別輔導計畫。</w:t>
      </w:r>
    </w:p>
    <w:p w:rsidR="00FB4233" w:rsidRDefault="00E20C74">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第二十六條　　本辦法自中華民國一百十四年八月一日施行。</w:t>
      </w:r>
    </w:p>
    <w:sectPr w:rsidR="00FB4233">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C74" w:rsidRDefault="00E20C74">
      <w:pPr>
        <w:rPr>
          <w:rFonts w:hint="eastAsia"/>
        </w:rPr>
      </w:pPr>
      <w:r>
        <w:separator/>
      </w:r>
    </w:p>
  </w:endnote>
  <w:endnote w:type="continuationSeparator" w:id="0">
    <w:p w:rsidR="00E20C74" w:rsidRDefault="00E20C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auto"/>
    <w:pitch w:val="variable"/>
  </w:font>
  <w:font w:name="標楷體.....">
    <w:altName w:val="微軟正黑體"/>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C74" w:rsidRDefault="00E20C74">
      <w:pPr>
        <w:rPr>
          <w:rFonts w:hint="eastAsia"/>
        </w:rPr>
      </w:pPr>
      <w:r>
        <w:rPr>
          <w:color w:val="000000"/>
        </w:rPr>
        <w:separator/>
      </w:r>
    </w:p>
  </w:footnote>
  <w:footnote w:type="continuationSeparator" w:id="0">
    <w:p w:rsidR="00E20C74" w:rsidRDefault="00E20C7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5B9"/>
    <w:multiLevelType w:val="multilevel"/>
    <w:tmpl w:val="66F2AAEE"/>
    <w:styleLink w:val="WWNum22"/>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1827F31"/>
    <w:multiLevelType w:val="multilevel"/>
    <w:tmpl w:val="BFFEF56A"/>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3DE7F42"/>
    <w:multiLevelType w:val="multilevel"/>
    <w:tmpl w:val="BEFC3E4E"/>
    <w:styleLink w:val="WW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536294F"/>
    <w:multiLevelType w:val="multilevel"/>
    <w:tmpl w:val="F364EA8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495D45"/>
    <w:multiLevelType w:val="multilevel"/>
    <w:tmpl w:val="B9F0A300"/>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5C79EA"/>
    <w:multiLevelType w:val="multilevel"/>
    <w:tmpl w:val="A79CB466"/>
    <w:styleLink w:val="WWNum2"/>
    <w:lvl w:ilvl="0">
      <w:start w:val="1"/>
      <w:numFmt w:val="japaneseCounting"/>
      <w:lvlText w:val="%1、"/>
      <w:lvlJc w:val="left"/>
      <w:pPr>
        <w:ind w:left="750" w:hanging="51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6" w15:restartNumberingAfterBreak="0">
    <w:nsid w:val="08747952"/>
    <w:multiLevelType w:val="multilevel"/>
    <w:tmpl w:val="1B469410"/>
    <w:styleLink w:val="WWNum36"/>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094129D0"/>
    <w:multiLevelType w:val="multilevel"/>
    <w:tmpl w:val="85E63F4A"/>
    <w:styleLink w:val="WWNum6"/>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0D9950A8"/>
    <w:multiLevelType w:val="multilevel"/>
    <w:tmpl w:val="EDF8F944"/>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BE50F3"/>
    <w:multiLevelType w:val="multilevel"/>
    <w:tmpl w:val="809E8F82"/>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0A549F0"/>
    <w:multiLevelType w:val="multilevel"/>
    <w:tmpl w:val="8826C380"/>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25620D"/>
    <w:multiLevelType w:val="multilevel"/>
    <w:tmpl w:val="BE984302"/>
    <w:styleLink w:val="WW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13915BCB"/>
    <w:multiLevelType w:val="multilevel"/>
    <w:tmpl w:val="946A4916"/>
    <w:styleLink w:val="WWNum9"/>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15D129CE"/>
    <w:multiLevelType w:val="multilevel"/>
    <w:tmpl w:val="EF5E760E"/>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764132E"/>
    <w:multiLevelType w:val="multilevel"/>
    <w:tmpl w:val="02385DA2"/>
    <w:styleLink w:val="WWNum4"/>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17C350D1"/>
    <w:multiLevelType w:val="multilevel"/>
    <w:tmpl w:val="42587A2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81801E4"/>
    <w:multiLevelType w:val="multilevel"/>
    <w:tmpl w:val="66A662A8"/>
    <w:styleLink w:val="WWNum3"/>
    <w:lvl w:ilvl="0">
      <w:start w:val="1"/>
      <w:numFmt w:val="japaneseCounting"/>
      <w:lvlText w:val="%1、"/>
      <w:lvlJc w:val="left"/>
      <w:pPr>
        <w:ind w:left="763" w:hanging="480"/>
      </w:pPr>
    </w:lvl>
    <w:lvl w:ilvl="1">
      <w:start w:val="1"/>
      <w:numFmt w:val="ideographTraditional"/>
      <w:lvlText w:val="%1.%2、"/>
      <w:lvlJc w:val="left"/>
      <w:pPr>
        <w:ind w:left="5072" w:hanging="480"/>
      </w:pPr>
    </w:lvl>
    <w:lvl w:ilvl="2">
      <w:start w:val="1"/>
      <w:numFmt w:val="lowerRoman"/>
      <w:lvlText w:val="%1.%2.%3."/>
      <w:lvlJc w:val="right"/>
      <w:pPr>
        <w:ind w:left="5552" w:hanging="480"/>
      </w:pPr>
    </w:lvl>
    <w:lvl w:ilvl="3">
      <w:start w:val="1"/>
      <w:numFmt w:val="decimal"/>
      <w:lvlText w:val="%1.%2.%3.%4."/>
      <w:lvlJc w:val="left"/>
      <w:pPr>
        <w:ind w:left="6032" w:hanging="480"/>
      </w:pPr>
    </w:lvl>
    <w:lvl w:ilvl="4">
      <w:start w:val="1"/>
      <w:numFmt w:val="ideographTraditional"/>
      <w:lvlText w:val="%1.%2.%3.%4.%5、"/>
      <w:lvlJc w:val="left"/>
      <w:pPr>
        <w:ind w:left="6512" w:hanging="480"/>
      </w:pPr>
    </w:lvl>
    <w:lvl w:ilvl="5">
      <w:start w:val="1"/>
      <w:numFmt w:val="lowerRoman"/>
      <w:lvlText w:val="%1.%2.%3.%4.%5.%6."/>
      <w:lvlJc w:val="right"/>
      <w:pPr>
        <w:ind w:left="6992" w:hanging="480"/>
      </w:pPr>
    </w:lvl>
    <w:lvl w:ilvl="6">
      <w:start w:val="1"/>
      <w:numFmt w:val="decimal"/>
      <w:lvlText w:val="%1.%2.%3.%4.%5.%6.%7."/>
      <w:lvlJc w:val="left"/>
      <w:pPr>
        <w:ind w:left="7472" w:hanging="480"/>
      </w:pPr>
    </w:lvl>
    <w:lvl w:ilvl="7">
      <w:start w:val="1"/>
      <w:numFmt w:val="ideographTraditional"/>
      <w:lvlText w:val="%1.%2.%3.%4.%5.%6.%7.%8、"/>
      <w:lvlJc w:val="left"/>
      <w:pPr>
        <w:ind w:left="7952" w:hanging="480"/>
      </w:pPr>
    </w:lvl>
    <w:lvl w:ilvl="8">
      <w:start w:val="1"/>
      <w:numFmt w:val="lowerRoman"/>
      <w:lvlText w:val="%1.%2.%3.%4.%5.%6.%7.%8.%9."/>
      <w:lvlJc w:val="right"/>
      <w:pPr>
        <w:ind w:left="8432" w:hanging="480"/>
      </w:pPr>
    </w:lvl>
  </w:abstractNum>
  <w:abstractNum w:abstractNumId="17" w15:restartNumberingAfterBreak="0">
    <w:nsid w:val="19062688"/>
    <w:multiLevelType w:val="multilevel"/>
    <w:tmpl w:val="BC2C55A2"/>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95B7178"/>
    <w:multiLevelType w:val="multilevel"/>
    <w:tmpl w:val="CF7A06DA"/>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C0E0DF7"/>
    <w:multiLevelType w:val="multilevel"/>
    <w:tmpl w:val="C4B840D4"/>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D823062"/>
    <w:multiLevelType w:val="multilevel"/>
    <w:tmpl w:val="9D4A8C0E"/>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DB67E78"/>
    <w:multiLevelType w:val="multilevel"/>
    <w:tmpl w:val="442CBAEC"/>
    <w:styleLink w:val="WWNum39"/>
    <w:lvl w:ilvl="0">
      <w:start w:val="1"/>
      <w:numFmt w:val="decimal"/>
      <w:lvlText w:val="%1."/>
      <w:lvlJc w:val="left"/>
      <w:pPr>
        <w:ind w:left="1516" w:hanging="480"/>
      </w:pPr>
    </w:lvl>
    <w:lvl w:ilvl="1">
      <w:start w:val="1"/>
      <w:numFmt w:val="ideographTraditional"/>
      <w:lvlText w:val="%1.%2、"/>
      <w:lvlJc w:val="left"/>
      <w:pPr>
        <w:ind w:left="1996" w:hanging="480"/>
      </w:pPr>
    </w:lvl>
    <w:lvl w:ilvl="2">
      <w:start w:val="1"/>
      <w:numFmt w:val="lowerRoman"/>
      <w:lvlText w:val="%1.%2.%3."/>
      <w:lvlJc w:val="right"/>
      <w:pPr>
        <w:ind w:left="2476" w:hanging="480"/>
      </w:pPr>
    </w:lvl>
    <w:lvl w:ilvl="3">
      <w:start w:val="1"/>
      <w:numFmt w:val="decimal"/>
      <w:lvlText w:val="%1.%2.%3.%4."/>
      <w:lvlJc w:val="left"/>
      <w:pPr>
        <w:ind w:left="2956" w:hanging="480"/>
      </w:pPr>
    </w:lvl>
    <w:lvl w:ilvl="4">
      <w:start w:val="1"/>
      <w:numFmt w:val="ideographTraditional"/>
      <w:lvlText w:val="%1.%2.%3.%4.%5、"/>
      <w:lvlJc w:val="left"/>
      <w:pPr>
        <w:ind w:left="3436" w:hanging="480"/>
      </w:pPr>
    </w:lvl>
    <w:lvl w:ilvl="5">
      <w:start w:val="1"/>
      <w:numFmt w:val="lowerRoman"/>
      <w:lvlText w:val="%1.%2.%3.%4.%5.%6."/>
      <w:lvlJc w:val="right"/>
      <w:pPr>
        <w:ind w:left="3916" w:hanging="480"/>
      </w:pPr>
    </w:lvl>
    <w:lvl w:ilvl="6">
      <w:start w:val="1"/>
      <w:numFmt w:val="decimal"/>
      <w:lvlText w:val="%1.%2.%3.%4.%5.%6.%7."/>
      <w:lvlJc w:val="left"/>
      <w:pPr>
        <w:ind w:left="4396" w:hanging="480"/>
      </w:pPr>
    </w:lvl>
    <w:lvl w:ilvl="7">
      <w:start w:val="1"/>
      <w:numFmt w:val="ideographTraditional"/>
      <w:lvlText w:val="%1.%2.%3.%4.%5.%6.%7.%8、"/>
      <w:lvlJc w:val="left"/>
      <w:pPr>
        <w:ind w:left="4876" w:hanging="480"/>
      </w:pPr>
    </w:lvl>
    <w:lvl w:ilvl="8">
      <w:start w:val="1"/>
      <w:numFmt w:val="lowerRoman"/>
      <w:lvlText w:val="%1.%2.%3.%4.%5.%6.%7.%8.%9."/>
      <w:lvlJc w:val="right"/>
      <w:pPr>
        <w:ind w:left="5356" w:hanging="480"/>
      </w:pPr>
    </w:lvl>
  </w:abstractNum>
  <w:abstractNum w:abstractNumId="22" w15:restartNumberingAfterBreak="0">
    <w:nsid w:val="2095316E"/>
    <w:multiLevelType w:val="multilevel"/>
    <w:tmpl w:val="27D0DDAC"/>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0E70010"/>
    <w:multiLevelType w:val="multilevel"/>
    <w:tmpl w:val="2F5C650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3FE0093"/>
    <w:multiLevelType w:val="multilevel"/>
    <w:tmpl w:val="912CE796"/>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25074197"/>
    <w:multiLevelType w:val="multilevel"/>
    <w:tmpl w:val="1614661C"/>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250A3342"/>
    <w:multiLevelType w:val="multilevel"/>
    <w:tmpl w:val="37AC36BA"/>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A9E2656"/>
    <w:multiLevelType w:val="multilevel"/>
    <w:tmpl w:val="B3E25438"/>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B271FA1"/>
    <w:multiLevelType w:val="multilevel"/>
    <w:tmpl w:val="1C20500E"/>
    <w:styleLink w:val="WWNum25"/>
    <w:lvl w:ilvl="0">
      <w:start w:val="1"/>
      <w:numFmt w:val="japaneseCounting"/>
      <w:lvlText w:val="%1、"/>
      <w:lvlJc w:val="left"/>
      <w:pPr>
        <w:ind w:left="456" w:hanging="456"/>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2BAF0308"/>
    <w:multiLevelType w:val="multilevel"/>
    <w:tmpl w:val="DEEC951A"/>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E720C5B"/>
    <w:multiLevelType w:val="multilevel"/>
    <w:tmpl w:val="531856C4"/>
    <w:styleLink w:val="WWNum10"/>
    <w:lvl w:ilvl="0">
      <w:start w:val="1"/>
      <w:numFmt w:val="japaneseCounting"/>
      <w:lvlText w:val="%1、"/>
      <w:lvlJc w:val="left"/>
      <w:pPr>
        <w:ind w:left="480" w:hanging="480"/>
      </w:pPr>
    </w:lvl>
    <w:lvl w:ilvl="1">
      <w:start w:val="1"/>
      <w:numFmt w:val="japaneseCounting"/>
      <w:lvlText w:val="(%1.%2)"/>
      <w:lvlJc w:val="left"/>
      <w:pPr>
        <w:ind w:left="960" w:hanging="480"/>
      </w:pPr>
      <w:rPr>
        <w:u w:val="single"/>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305D1B90"/>
    <w:multiLevelType w:val="multilevel"/>
    <w:tmpl w:val="3190C07E"/>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4C52357"/>
    <w:multiLevelType w:val="multilevel"/>
    <w:tmpl w:val="DBC0DE76"/>
    <w:styleLink w:val="WWNum13"/>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3" w15:restartNumberingAfterBreak="0">
    <w:nsid w:val="34F72C7E"/>
    <w:multiLevelType w:val="multilevel"/>
    <w:tmpl w:val="216A3AD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5117B5D"/>
    <w:multiLevelType w:val="multilevel"/>
    <w:tmpl w:val="C7B03342"/>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8747B79"/>
    <w:multiLevelType w:val="multilevel"/>
    <w:tmpl w:val="240E9E80"/>
    <w:styleLink w:val="WWNum35"/>
    <w:lvl w:ilvl="0">
      <w:start w:val="1"/>
      <w:numFmt w:val="upperLetter"/>
      <w:lvlText w:val="%1."/>
      <w:lvlJc w:val="left"/>
      <w:pPr>
        <w:ind w:left="2628" w:hanging="360"/>
      </w:pPr>
      <w:rPr>
        <w:b w:val="0"/>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36" w15:restartNumberingAfterBreak="0">
    <w:nsid w:val="38C171DD"/>
    <w:multiLevelType w:val="multilevel"/>
    <w:tmpl w:val="E4529FC0"/>
    <w:styleLink w:val="WW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39732916"/>
    <w:multiLevelType w:val="multilevel"/>
    <w:tmpl w:val="DFAC4FF2"/>
    <w:styleLink w:val="WWNum3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39F109CC"/>
    <w:multiLevelType w:val="multilevel"/>
    <w:tmpl w:val="32568FF4"/>
    <w:styleLink w:val="WWNum3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3C0B38F1"/>
    <w:multiLevelType w:val="multilevel"/>
    <w:tmpl w:val="544C707E"/>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322CE9"/>
    <w:multiLevelType w:val="multilevel"/>
    <w:tmpl w:val="287A4B2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0955354"/>
    <w:multiLevelType w:val="multilevel"/>
    <w:tmpl w:val="E8D61606"/>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2" w15:restartNumberingAfterBreak="0">
    <w:nsid w:val="41EB1180"/>
    <w:multiLevelType w:val="multilevel"/>
    <w:tmpl w:val="FED024CE"/>
    <w:styleLink w:val="WW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3" w15:restartNumberingAfterBreak="0">
    <w:nsid w:val="440D6700"/>
    <w:multiLevelType w:val="multilevel"/>
    <w:tmpl w:val="5EF8CA56"/>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49F5BEE"/>
    <w:multiLevelType w:val="multilevel"/>
    <w:tmpl w:val="161465B2"/>
    <w:styleLink w:val="WW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5" w15:restartNumberingAfterBreak="0">
    <w:nsid w:val="44FA002B"/>
    <w:multiLevelType w:val="multilevel"/>
    <w:tmpl w:val="53E867AE"/>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63A5371"/>
    <w:multiLevelType w:val="multilevel"/>
    <w:tmpl w:val="BFC6C040"/>
    <w:styleLink w:val="WW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7" w15:restartNumberingAfterBreak="0">
    <w:nsid w:val="4801041A"/>
    <w:multiLevelType w:val="multilevel"/>
    <w:tmpl w:val="0AEC63D4"/>
    <w:styleLink w:val="WWNum3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8" w15:restartNumberingAfterBreak="0">
    <w:nsid w:val="48785EF9"/>
    <w:multiLevelType w:val="multilevel"/>
    <w:tmpl w:val="9518396A"/>
    <w:styleLink w:val="WWNum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4BCB6A11"/>
    <w:multiLevelType w:val="multilevel"/>
    <w:tmpl w:val="DA4C1D72"/>
    <w:styleLink w:val="WWNum26"/>
    <w:lvl w:ilvl="0">
      <w:start w:val="1"/>
      <w:numFmt w:val="japaneseCounting"/>
      <w:lvlText w:val="%1、"/>
      <w:lvlJc w:val="left"/>
      <w:pPr>
        <w:ind w:left="480" w:hanging="480"/>
      </w:pPr>
      <w:rPr>
        <w:rFonts w:eastAsia="標楷體" w:cs="標楷體"/>
        <w:color w:val="000000"/>
        <w:kern w:val="0"/>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0" w15:restartNumberingAfterBreak="0">
    <w:nsid w:val="50DD6CEF"/>
    <w:multiLevelType w:val="multilevel"/>
    <w:tmpl w:val="9E66562C"/>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1600D99"/>
    <w:multiLevelType w:val="multilevel"/>
    <w:tmpl w:val="A4E0ABD2"/>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8CD7BB9"/>
    <w:multiLevelType w:val="multilevel"/>
    <w:tmpl w:val="674098A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9B95A0D"/>
    <w:multiLevelType w:val="multilevel"/>
    <w:tmpl w:val="E8F8F1BE"/>
    <w:styleLink w:val="WW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4" w15:restartNumberingAfterBreak="0">
    <w:nsid w:val="5BEB07D6"/>
    <w:multiLevelType w:val="multilevel"/>
    <w:tmpl w:val="A2147240"/>
    <w:styleLink w:val="WWNum3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5" w15:restartNumberingAfterBreak="0">
    <w:nsid w:val="5C0B518B"/>
    <w:multiLevelType w:val="multilevel"/>
    <w:tmpl w:val="310CF13A"/>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C7D6EED"/>
    <w:multiLevelType w:val="multilevel"/>
    <w:tmpl w:val="9BF0F352"/>
    <w:styleLink w:val="WWNum1a"/>
    <w:lvl w:ilvl="0">
      <w:start w:val="1"/>
      <w:numFmt w:val="japaneseCounting"/>
      <w:lvlText w:val="%1、"/>
      <w:lvlJc w:val="left"/>
      <w:pPr>
        <w:ind w:left="480" w:hanging="480"/>
      </w:pPr>
      <w:rPr>
        <w:rFonts w:ascii="標楷體" w:hAnsi="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57" w15:restartNumberingAfterBreak="0">
    <w:nsid w:val="5D5C4FF5"/>
    <w:multiLevelType w:val="multilevel"/>
    <w:tmpl w:val="436E54C2"/>
    <w:styleLink w:val="WW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8" w15:restartNumberingAfterBreak="0">
    <w:nsid w:val="5E4B3E93"/>
    <w:multiLevelType w:val="multilevel"/>
    <w:tmpl w:val="770EBA4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6752C2"/>
    <w:multiLevelType w:val="multilevel"/>
    <w:tmpl w:val="33221BFE"/>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EE96589"/>
    <w:multiLevelType w:val="multilevel"/>
    <w:tmpl w:val="09D21996"/>
    <w:styleLink w:val="WW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1" w15:restartNumberingAfterBreak="0">
    <w:nsid w:val="5F5103B3"/>
    <w:multiLevelType w:val="multilevel"/>
    <w:tmpl w:val="38DCCA3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2" w15:restartNumberingAfterBreak="0">
    <w:nsid w:val="609F6FD3"/>
    <w:multiLevelType w:val="multilevel"/>
    <w:tmpl w:val="6BCCEA2C"/>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2367EC0"/>
    <w:multiLevelType w:val="multilevel"/>
    <w:tmpl w:val="D8804FD8"/>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6363185B"/>
    <w:multiLevelType w:val="multilevel"/>
    <w:tmpl w:val="3848A1E0"/>
    <w:styleLink w:val="WW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5" w15:restartNumberingAfterBreak="0">
    <w:nsid w:val="6C345A90"/>
    <w:multiLevelType w:val="multilevel"/>
    <w:tmpl w:val="2016755E"/>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CF7007A"/>
    <w:multiLevelType w:val="multilevel"/>
    <w:tmpl w:val="090A18D4"/>
    <w:styleLink w:val="WWNum20"/>
    <w:lvl w:ilvl="0">
      <w:start w:val="1"/>
      <w:numFmt w:val="japaneseCounting"/>
      <w:lvlText w:val="%1、"/>
      <w:lvlJc w:val="left"/>
      <w:pPr>
        <w:ind w:left="720" w:hanging="480"/>
      </w:pPr>
      <w:rPr>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67" w15:restartNumberingAfterBreak="0">
    <w:nsid w:val="6D773365"/>
    <w:multiLevelType w:val="multilevel"/>
    <w:tmpl w:val="E3B09392"/>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DD3749B"/>
    <w:multiLevelType w:val="multilevel"/>
    <w:tmpl w:val="6BE6B100"/>
    <w:styleLink w:val="WWNum16"/>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9" w15:restartNumberingAfterBreak="0">
    <w:nsid w:val="6DEB10DF"/>
    <w:multiLevelType w:val="multilevel"/>
    <w:tmpl w:val="F1A4E14A"/>
    <w:styleLink w:val="WWNum23"/>
    <w:lvl w:ilvl="0">
      <w:start w:val="1"/>
      <w:numFmt w:val="japaneseCounting"/>
      <w:lvlText w:val="第%1條"/>
      <w:lvlJc w:val="left"/>
      <w:pPr>
        <w:ind w:left="1035" w:hanging="103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0" w15:restartNumberingAfterBreak="0">
    <w:nsid w:val="6ECE278F"/>
    <w:multiLevelType w:val="multilevel"/>
    <w:tmpl w:val="B0844BCA"/>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F15530B"/>
    <w:multiLevelType w:val="multilevel"/>
    <w:tmpl w:val="0AA6BC54"/>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2" w15:restartNumberingAfterBreak="0">
    <w:nsid w:val="6FBD02B5"/>
    <w:multiLevelType w:val="multilevel"/>
    <w:tmpl w:val="FF88C4E2"/>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36D70CA"/>
    <w:multiLevelType w:val="multilevel"/>
    <w:tmpl w:val="B016B7A2"/>
    <w:styleLink w:val="WWNum33"/>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74" w15:restartNumberingAfterBreak="0">
    <w:nsid w:val="73E449F2"/>
    <w:multiLevelType w:val="multilevel"/>
    <w:tmpl w:val="073851E4"/>
    <w:styleLink w:val="WWNum32"/>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5" w15:restartNumberingAfterBreak="0">
    <w:nsid w:val="753257EA"/>
    <w:multiLevelType w:val="multilevel"/>
    <w:tmpl w:val="F10875DC"/>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5785EF7"/>
    <w:multiLevelType w:val="multilevel"/>
    <w:tmpl w:val="DC809F3A"/>
    <w:styleLink w:val="WWNum2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7" w15:restartNumberingAfterBreak="0">
    <w:nsid w:val="75BB50B3"/>
    <w:multiLevelType w:val="multilevel"/>
    <w:tmpl w:val="403EFC52"/>
    <w:styleLink w:val="WWNum12"/>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8" w15:restartNumberingAfterBreak="0">
    <w:nsid w:val="76C704A5"/>
    <w:multiLevelType w:val="multilevel"/>
    <w:tmpl w:val="968AAFC2"/>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83F4870"/>
    <w:multiLevelType w:val="multilevel"/>
    <w:tmpl w:val="7F4AAF78"/>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9E22E78"/>
    <w:multiLevelType w:val="multilevel"/>
    <w:tmpl w:val="FB5EF95A"/>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79E5116D"/>
    <w:multiLevelType w:val="multilevel"/>
    <w:tmpl w:val="6BBCAA96"/>
    <w:styleLink w:val="WWNum11"/>
    <w:lvl w:ilvl="0">
      <w:start w:val="3"/>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2" w15:restartNumberingAfterBreak="0">
    <w:nsid w:val="7BD443E1"/>
    <w:multiLevelType w:val="multilevel"/>
    <w:tmpl w:val="9502FEB2"/>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C87156F"/>
    <w:multiLevelType w:val="multilevel"/>
    <w:tmpl w:val="E7704B4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7D2C64C4"/>
    <w:multiLevelType w:val="multilevel"/>
    <w:tmpl w:val="10222E34"/>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7F8031F9"/>
    <w:multiLevelType w:val="multilevel"/>
    <w:tmpl w:val="C0D8D556"/>
    <w:styleLink w:val="WWNum19"/>
    <w:lvl w:ilvl="0">
      <w:start w:val="1"/>
      <w:numFmt w:val="japaneseCounting"/>
      <w:lvlText w:val="第%1條"/>
      <w:lvlJc w:val="left"/>
      <w:pPr>
        <w:ind w:left="1080" w:hanging="10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61"/>
  </w:num>
  <w:num w:numId="2">
    <w:abstractNumId w:val="15"/>
  </w:num>
  <w:num w:numId="3">
    <w:abstractNumId w:val="58"/>
  </w:num>
  <w:num w:numId="4">
    <w:abstractNumId w:val="17"/>
  </w:num>
  <w:num w:numId="5">
    <w:abstractNumId w:val="51"/>
  </w:num>
  <w:num w:numId="6">
    <w:abstractNumId w:val="4"/>
  </w:num>
  <w:num w:numId="7">
    <w:abstractNumId w:val="67"/>
  </w:num>
  <w:num w:numId="8">
    <w:abstractNumId w:val="70"/>
  </w:num>
  <w:num w:numId="9">
    <w:abstractNumId w:val="83"/>
  </w:num>
  <w:num w:numId="10">
    <w:abstractNumId w:val="13"/>
  </w:num>
  <w:num w:numId="11">
    <w:abstractNumId w:val="33"/>
  </w:num>
  <w:num w:numId="12">
    <w:abstractNumId w:val="59"/>
  </w:num>
  <w:num w:numId="13">
    <w:abstractNumId w:val="19"/>
  </w:num>
  <w:num w:numId="14">
    <w:abstractNumId w:val="27"/>
  </w:num>
  <w:num w:numId="15">
    <w:abstractNumId w:val="22"/>
  </w:num>
  <w:num w:numId="16">
    <w:abstractNumId w:val="62"/>
  </w:num>
  <w:num w:numId="17">
    <w:abstractNumId w:val="31"/>
  </w:num>
  <w:num w:numId="18">
    <w:abstractNumId w:val="9"/>
  </w:num>
  <w:num w:numId="19">
    <w:abstractNumId w:val="84"/>
  </w:num>
  <w:num w:numId="20">
    <w:abstractNumId w:val="72"/>
  </w:num>
  <w:num w:numId="21">
    <w:abstractNumId w:val="45"/>
  </w:num>
  <w:num w:numId="22">
    <w:abstractNumId w:val="65"/>
  </w:num>
  <w:num w:numId="23">
    <w:abstractNumId w:val="10"/>
  </w:num>
  <w:num w:numId="24">
    <w:abstractNumId w:val="52"/>
  </w:num>
  <w:num w:numId="25">
    <w:abstractNumId w:val="23"/>
  </w:num>
  <w:num w:numId="26">
    <w:abstractNumId w:val="20"/>
  </w:num>
  <w:num w:numId="27">
    <w:abstractNumId w:val="39"/>
  </w:num>
  <w:num w:numId="28">
    <w:abstractNumId w:val="78"/>
  </w:num>
  <w:num w:numId="29">
    <w:abstractNumId w:val="29"/>
  </w:num>
  <w:num w:numId="30">
    <w:abstractNumId w:val="40"/>
  </w:num>
  <w:num w:numId="31">
    <w:abstractNumId w:val="43"/>
  </w:num>
  <w:num w:numId="32">
    <w:abstractNumId w:val="75"/>
  </w:num>
  <w:num w:numId="33">
    <w:abstractNumId w:val="8"/>
  </w:num>
  <w:num w:numId="34">
    <w:abstractNumId w:val="18"/>
  </w:num>
  <w:num w:numId="35">
    <w:abstractNumId w:val="26"/>
  </w:num>
  <w:num w:numId="36">
    <w:abstractNumId w:val="80"/>
  </w:num>
  <w:num w:numId="37">
    <w:abstractNumId w:val="55"/>
  </w:num>
  <w:num w:numId="38">
    <w:abstractNumId w:val="63"/>
  </w:num>
  <w:num w:numId="39">
    <w:abstractNumId w:val="50"/>
  </w:num>
  <w:num w:numId="40">
    <w:abstractNumId w:val="34"/>
  </w:num>
  <w:num w:numId="41">
    <w:abstractNumId w:val="79"/>
  </w:num>
  <w:num w:numId="42">
    <w:abstractNumId w:val="3"/>
  </w:num>
  <w:num w:numId="43">
    <w:abstractNumId w:val="82"/>
  </w:num>
  <w:num w:numId="44">
    <w:abstractNumId w:val="48"/>
  </w:num>
  <w:num w:numId="45">
    <w:abstractNumId w:val="5"/>
  </w:num>
  <w:num w:numId="46">
    <w:abstractNumId w:val="16"/>
  </w:num>
  <w:num w:numId="47">
    <w:abstractNumId w:val="14"/>
  </w:num>
  <w:num w:numId="48">
    <w:abstractNumId w:val="36"/>
  </w:num>
  <w:num w:numId="49">
    <w:abstractNumId w:val="7"/>
  </w:num>
  <w:num w:numId="50">
    <w:abstractNumId w:val="24"/>
  </w:num>
  <w:num w:numId="51">
    <w:abstractNumId w:val="11"/>
  </w:num>
  <w:num w:numId="52">
    <w:abstractNumId w:val="12"/>
  </w:num>
  <w:num w:numId="53">
    <w:abstractNumId w:val="30"/>
  </w:num>
  <w:num w:numId="54">
    <w:abstractNumId w:val="81"/>
  </w:num>
  <w:num w:numId="55">
    <w:abstractNumId w:val="77"/>
  </w:num>
  <w:num w:numId="56">
    <w:abstractNumId w:val="32"/>
  </w:num>
  <w:num w:numId="57">
    <w:abstractNumId w:val="1"/>
  </w:num>
  <w:num w:numId="58">
    <w:abstractNumId w:val="44"/>
  </w:num>
  <w:num w:numId="59">
    <w:abstractNumId w:val="68"/>
  </w:num>
  <w:num w:numId="60">
    <w:abstractNumId w:val="64"/>
  </w:num>
  <w:num w:numId="61">
    <w:abstractNumId w:val="57"/>
  </w:num>
  <w:num w:numId="62">
    <w:abstractNumId w:val="85"/>
  </w:num>
  <w:num w:numId="63">
    <w:abstractNumId w:val="66"/>
  </w:num>
  <w:num w:numId="64">
    <w:abstractNumId w:val="60"/>
  </w:num>
  <w:num w:numId="65">
    <w:abstractNumId w:val="0"/>
  </w:num>
  <w:num w:numId="66">
    <w:abstractNumId w:val="69"/>
  </w:num>
  <w:num w:numId="67">
    <w:abstractNumId w:val="42"/>
  </w:num>
  <w:num w:numId="68">
    <w:abstractNumId w:val="28"/>
  </w:num>
  <w:num w:numId="69">
    <w:abstractNumId w:val="49"/>
  </w:num>
  <w:num w:numId="70">
    <w:abstractNumId w:val="2"/>
  </w:num>
  <w:num w:numId="71">
    <w:abstractNumId w:val="46"/>
  </w:num>
  <w:num w:numId="72">
    <w:abstractNumId w:val="76"/>
  </w:num>
  <w:num w:numId="73">
    <w:abstractNumId w:val="71"/>
  </w:num>
  <w:num w:numId="74">
    <w:abstractNumId w:val="38"/>
  </w:num>
  <w:num w:numId="75">
    <w:abstractNumId w:val="74"/>
  </w:num>
  <w:num w:numId="76">
    <w:abstractNumId w:val="73"/>
  </w:num>
  <w:num w:numId="77">
    <w:abstractNumId w:val="37"/>
  </w:num>
  <w:num w:numId="78">
    <w:abstractNumId w:val="35"/>
  </w:num>
  <w:num w:numId="79">
    <w:abstractNumId w:val="6"/>
  </w:num>
  <w:num w:numId="80">
    <w:abstractNumId w:val="54"/>
  </w:num>
  <w:num w:numId="81">
    <w:abstractNumId w:val="47"/>
  </w:num>
  <w:num w:numId="82">
    <w:abstractNumId w:val="21"/>
  </w:num>
  <w:num w:numId="83">
    <w:abstractNumId w:val="41"/>
  </w:num>
  <w:num w:numId="84">
    <w:abstractNumId w:val="25"/>
  </w:num>
  <w:num w:numId="85">
    <w:abstractNumId w:val="53"/>
  </w:num>
  <w:num w:numId="86">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B4233"/>
    <w:rsid w:val="00985A73"/>
    <w:rsid w:val="00C97E70"/>
    <w:rsid w:val="00E20C74"/>
    <w:rsid w:val="00FB42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94995-C05C-4CA9-A381-35659F76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76" w:lineRule="auto"/>
    </w:pPr>
  </w:style>
  <w:style w:type="paragraph" w:customStyle="1" w:styleId="Default">
    <w:name w:val="Default"/>
    <w:rPr>
      <w:rFonts w:ascii="標楷體....." w:eastAsia="標楷體....." w:hAnsi="標楷體....." w:cs="標楷體....."/>
      <w:color w:val="000000"/>
      <w:lang w:bidi="ar-SA"/>
    </w:rPr>
  </w:style>
  <w:style w:type="paragraph" w:styleId="a5">
    <w:name w:val="List Paragraph"/>
    <w:basedOn w:val="Standarduser"/>
    <w:pPr>
      <w:ind w:left="480"/>
    </w:pPr>
  </w:style>
  <w:style w:type="paragraph" w:customStyle="1" w:styleId="HeaderandFooter">
    <w:name w:val="Header and Footer"/>
    <w:basedOn w:val="Standarduser"/>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Balloon Text"/>
    <w:basedOn w:val="Standarduser"/>
    <w:rPr>
      <w:rFonts w:ascii="Calibri Light" w:eastAsia="Calibri Light" w:hAnsi="Calibri Light" w:cs="Calibri Light"/>
      <w:sz w:val="18"/>
      <w:szCs w:val="18"/>
    </w:rPr>
  </w:style>
  <w:style w:type="paragraph" w:styleId="a9">
    <w:name w:val="annotation text"/>
    <w:basedOn w:val="Standarduser"/>
  </w:style>
  <w:style w:type="paragraph" w:styleId="aa">
    <w:name w:val="annotation subject"/>
    <w:basedOn w:val="a9"/>
    <w:next w:val="a9"/>
    <w:rPr>
      <w:b/>
      <w:bCs/>
    </w:rPr>
  </w:style>
  <w:style w:type="paragraph" w:styleId="HTML">
    <w:name w:val="HTML Preformatted"/>
    <w:basedOn w:val="Standarduser"/>
    <w:rPr>
      <w:rFonts w:ascii="Courier New" w:eastAsia="Courier New" w:hAnsi="Courier New" w:cs="Courier New"/>
      <w:sz w:val="20"/>
      <w:szCs w:val="2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textAlignment w:val="auto"/>
    </w:pPr>
    <w:rPr>
      <w:rFonts w:ascii="Calibri" w:hAnsi="Calibri" w:cs="Times New Roman"/>
      <w:szCs w:val="22"/>
      <w:lang w:bidi="ar-SA"/>
    </w:rPr>
  </w:style>
  <w:style w:type="paragraph" w:customStyle="1" w:styleId="ab">
    <w:name w:val="List Paragraph"/>
    <w:aliases w:val="12 20,¼Ð1,¼Ð11,¼Ð12,(1)(1)(1)(1)(1)(1)(1)(1),1.1.1.1²M³æ¬q¸¨,¼ÐÃD (4),(¤G),¦CÂI,²M³æ¬q¸¨2,1.1,°Ñ¦Ò¤åÄm,lp1,FooterText,numbered,List Paragraph1,Paragraphe de liste1"/>
    <w:basedOn w:val="Standard"/>
    <w:pPr>
      <w:ind w:left="48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u w:val="singl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kern w:val="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註解方塊文字 字元"/>
    <w:rPr>
      <w:rFonts w:ascii="Calibri Light" w:eastAsia="新細明體, PMingLiU" w:hAnsi="Calibri Light" w:cs="Times New Roman"/>
      <w:sz w:val="18"/>
      <w:szCs w:val="18"/>
    </w:rPr>
  </w:style>
  <w:style w:type="character" w:customStyle="1" w:styleId="af">
    <w:name w:val="清單段落 字元"/>
  </w:style>
  <w:style w:type="character" w:styleId="af0">
    <w:name w:val="annotation reference"/>
    <w:rPr>
      <w:sz w:val="18"/>
      <w:szCs w:val="18"/>
    </w:rPr>
  </w:style>
  <w:style w:type="character" w:customStyle="1" w:styleId="af1">
    <w:name w:val="註解文字 字元"/>
    <w:basedOn w:val="a0"/>
  </w:style>
  <w:style w:type="character" w:customStyle="1" w:styleId="af2">
    <w:name w:val="註解主旨 字元"/>
    <w:rPr>
      <w:b/>
      <w:bCs/>
    </w:rPr>
  </w:style>
  <w:style w:type="character" w:customStyle="1" w:styleId="HTML0">
    <w:name w:val="HTML 預設格式 字元"/>
    <w:rPr>
      <w:rFonts w:ascii="Courier New" w:eastAsia="Courier New" w:hAnsi="Courier New" w:cs="Courier New"/>
      <w:kern w:val="3"/>
    </w:rPr>
  </w:style>
  <w:style w:type="character" w:customStyle="1" w:styleId="ListLabel1">
    <w:name w:val="ListLabel 1"/>
    <w:rPr>
      <w:color w:val="000000"/>
    </w:rPr>
  </w:style>
  <w:style w:type="character" w:customStyle="1" w:styleId="ListLabel2">
    <w:name w:val="ListLabel 2"/>
    <w:rPr>
      <w:rFonts w:eastAsia="標楷體" w:cs="Times New Roman"/>
    </w:rPr>
  </w:style>
  <w:style w:type="character" w:customStyle="1" w:styleId="ListLabel3">
    <w:name w:val="ListLabel 3"/>
    <w:rPr>
      <w:color w:val="000000"/>
    </w:rPr>
  </w:style>
  <w:style w:type="character" w:customStyle="1" w:styleId="ListLabel4">
    <w:name w:val="ListLabel 4"/>
    <w:rPr>
      <w:u w:val="single"/>
    </w:rPr>
  </w:style>
  <w:style w:type="character" w:customStyle="1" w:styleId="ListLabel5">
    <w:name w:val="ListLabel 5"/>
    <w:rPr>
      <w:color w:val="000000"/>
    </w:rPr>
  </w:style>
  <w:style w:type="character" w:customStyle="1" w:styleId="ListLabel6">
    <w:name w:val="ListLabel 6"/>
    <w:rPr>
      <w:lang w:val="en-US"/>
    </w:rPr>
  </w:style>
  <w:style w:type="character" w:customStyle="1" w:styleId="ListLabel7">
    <w:name w:val="ListLabel 7"/>
    <w:rPr>
      <w:color w:val="000000"/>
    </w:rPr>
  </w:style>
  <w:style w:type="character" w:customStyle="1" w:styleId="ListLabel8">
    <w:name w:val="ListLabel 8"/>
    <w:rPr>
      <w:rFonts w:eastAsia="標楷體" w:cs="標楷體"/>
      <w:color w:val="000000"/>
      <w:kern w:val="0"/>
      <w:szCs w:val="24"/>
    </w:rPr>
  </w:style>
  <w:style w:type="character" w:customStyle="1" w:styleId="ListLabel9">
    <w:name w:val="ListLabel 9"/>
    <w:rPr>
      <w:b w:val="0"/>
      <w:u w:val="none"/>
    </w:rPr>
  </w:style>
  <w:style w:type="character" w:customStyle="1" w:styleId="ListLabel10">
    <w:name w:val="ListLabel 10"/>
    <w:rPr>
      <w:color w:val="000000"/>
    </w:rPr>
  </w:style>
  <w:style w:type="character" w:customStyle="1" w:styleId="Mqr">
    <w:name w:val="²M³æ¬q¸¨ ¦r¤¸"/>
    <w:aliases w:val="12 20 ¦r¤¸,List Paragraph ¦r¤¸,¼Ð1 ¦r¤¸,¼Ð11 ¦r¤¸,¼Ð12 ¦r¤¸,(1)(1)(1)(1)(1)(1)(1)(1) ¦r¤¸,1.1.1.1²M³æ¬q¸¨ ¦r¤¸,¼ÐÃD (4) ¦r¤¸,(¤G) ¦r¤¸,¦CÂI ¦r¤¸,²M³æ¬q¸¨2 ¦r¤¸,1.1 ¦r¤¸,°Ñ¦Ò¤åÄm ¦r¤¸,lp1 ¦r¤¸,FooterText ¦r¤¸,numbered ¦r¤¸,List Paragraph1 ¦"/>
    <w:rPr>
      <w:rFonts w:ascii="Times New Roman" w:eastAsia="新細明體" w:hAnsi="Times New Roman" w:cs="Times New Roman"/>
      <w:kern w:val="3"/>
      <w:sz w:val="24"/>
    </w:rPr>
  </w:style>
  <w:style w:type="character" w:customStyle="1" w:styleId="ListLabel11">
    <w:name w:val="ListLabel 11"/>
    <w:rPr>
      <w:rFonts w:ascii="標楷體" w:eastAsia="標楷體" w:hAnsi="標楷體"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Num1">
    <w:name w:val="WWNum1"/>
    <w:basedOn w:val="a2"/>
    <w:pPr>
      <w:numPr>
        <w:numId w:val="44"/>
      </w:numPr>
    </w:pPr>
  </w:style>
  <w:style w:type="numbering" w:customStyle="1" w:styleId="WWNum2">
    <w:name w:val="WWNum2"/>
    <w:basedOn w:val="a2"/>
    <w:pPr>
      <w:numPr>
        <w:numId w:val="45"/>
      </w:numPr>
    </w:pPr>
  </w:style>
  <w:style w:type="numbering" w:customStyle="1" w:styleId="WWNum3">
    <w:name w:val="WWNum3"/>
    <w:basedOn w:val="a2"/>
    <w:pPr>
      <w:numPr>
        <w:numId w:val="46"/>
      </w:numPr>
    </w:pPr>
  </w:style>
  <w:style w:type="numbering" w:customStyle="1" w:styleId="WWNum4">
    <w:name w:val="WWNum4"/>
    <w:basedOn w:val="a2"/>
    <w:pPr>
      <w:numPr>
        <w:numId w:val="47"/>
      </w:numPr>
    </w:pPr>
  </w:style>
  <w:style w:type="numbering" w:customStyle="1" w:styleId="WWNum5">
    <w:name w:val="WWNum5"/>
    <w:basedOn w:val="a2"/>
    <w:pPr>
      <w:numPr>
        <w:numId w:val="48"/>
      </w:numPr>
    </w:pPr>
  </w:style>
  <w:style w:type="numbering" w:customStyle="1" w:styleId="WWNum6">
    <w:name w:val="WWNum6"/>
    <w:basedOn w:val="a2"/>
    <w:pPr>
      <w:numPr>
        <w:numId w:val="49"/>
      </w:numPr>
    </w:pPr>
  </w:style>
  <w:style w:type="numbering" w:customStyle="1" w:styleId="WWNum7">
    <w:name w:val="WWNum7"/>
    <w:basedOn w:val="a2"/>
    <w:pPr>
      <w:numPr>
        <w:numId w:val="50"/>
      </w:numPr>
    </w:pPr>
  </w:style>
  <w:style w:type="numbering" w:customStyle="1" w:styleId="WWNum8">
    <w:name w:val="WWNum8"/>
    <w:basedOn w:val="a2"/>
    <w:pPr>
      <w:numPr>
        <w:numId w:val="51"/>
      </w:numPr>
    </w:pPr>
  </w:style>
  <w:style w:type="numbering" w:customStyle="1" w:styleId="WWNum9">
    <w:name w:val="WWNum9"/>
    <w:basedOn w:val="a2"/>
    <w:pPr>
      <w:numPr>
        <w:numId w:val="52"/>
      </w:numPr>
    </w:pPr>
  </w:style>
  <w:style w:type="numbering" w:customStyle="1" w:styleId="WWNum10">
    <w:name w:val="WWNum10"/>
    <w:basedOn w:val="a2"/>
    <w:pPr>
      <w:numPr>
        <w:numId w:val="53"/>
      </w:numPr>
    </w:pPr>
  </w:style>
  <w:style w:type="numbering" w:customStyle="1" w:styleId="WWNum11">
    <w:name w:val="WWNum11"/>
    <w:basedOn w:val="a2"/>
    <w:pPr>
      <w:numPr>
        <w:numId w:val="54"/>
      </w:numPr>
    </w:pPr>
  </w:style>
  <w:style w:type="numbering" w:customStyle="1" w:styleId="WWNum12">
    <w:name w:val="WWNum12"/>
    <w:basedOn w:val="a2"/>
    <w:pPr>
      <w:numPr>
        <w:numId w:val="55"/>
      </w:numPr>
    </w:pPr>
  </w:style>
  <w:style w:type="numbering" w:customStyle="1" w:styleId="WWNum13">
    <w:name w:val="WWNum13"/>
    <w:basedOn w:val="a2"/>
    <w:pPr>
      <w:numPr>
        <w:numId w:val="56"/>
      </w:numPr>
    </w:pPr>
  </w:style>
  <w:style w:type="numbering" w:customStyle="1" w:styleId="WWNum14">
    <w:name w:val="WWNum14"/>
    <w:basedOn w:val="a2"/>
    <w:pPr>
      <w:numPr>
        <w:numId w:val="57"/>
      </w:numPr>
    </w:pPr>
  </w:style>
  <w:style w:type="numbering" w:customStyle="1" w:styleId="WWNum15">
    <w:name w:val="WWNum15"/>
    <w:basedOn w:val="a2"/>
    <w:pPr>
      <w:numPr>
        <w:numId w:val="58"/>
      </w:numPr>
    </w:pPr>
  </w:style>
  <w:style w:type="numbering" w:customStyle="1" w:styleId="WWNum16">
    <w:name w:val="WWNum16"/>
    <w:basedOn w:val="a2"/>
    <w:pPr>
      <w:numPr>
        <w:numId w:val="59"/>
      </w:numPr>
    </w:pPr>
  </w:style>
  <w:style w:type="numbering" w:customStyle="1" w:styleId="WWNum17">
    <w:name w:val="WWNum17"/>
    <w:basedOn w:val="a2"/>
    <w:pPr>
      <w:numPr>
        <w:numId w:val="60"/>
      </w:numPr>
    </w:pPr>
  </w:style>
  <w:style w:type="numbering" w:customStyle="1" w:styleId="WWNum18">
    <w:name w:val="WWNum18"/>
    <w:basedOn w:val="a2"/>
    <w:pPr>
      <w:numPr>
        <w:numId w:val="61"/>
      </w:numPr>
    </w:pPr>
  </w:style>
  <w:style w:type="numbering" w:customStyle="1" w:styleId="WWNum19">
    <w:name w:val="WWNum19"/>
    <w:basedOn w:val="a2"/>
    <w:pPr>
      <w:numPr>
        <w:numId w:val="62"/>
      </w:numPr>
    </w:pPr>
  </w:style>
  <w:style w:type="numbering" w:customStyle="1" w:styleId="WWNum20">
    <w:name w:val="WWNum20"/>
    <w:basedOn w:val="a2"/>
    <w:pPr>
      <w:numPr>
        <w:numId w:val="63"/>
      </w:numPr>
    </w:pPr>
  </w:style>
  <w:style w:type="numbering" w:customStyle="1" w:styleId="WWNum21">
    <w:name w:val="WWNum21"/>
    <w:basedOn w:val="a2"/>
    <w:pPr>
      <w:numPr>
        <w:numId w:val="64"/>
      </w:numPr>
    </w:pPr>
  </w:style>
  <w:style w:type="numbering" w:customStyle="1" w:styleId="WWNum22">
    <w:name w:val="WWNum22"/>
    <w:basedOn w:val="a2"/>
    <w:pPr>
      <w:numPr>
        <w:numId w:val="65"/>
      </w:numPr>
    </w:pPr>
  </w:style>
  <w:style w:type="numbering" w:customStyle="1" w:styleId="WWNum23">
    <w:name w:val="WWNum23"/>
    <w:basedOn w:val="a2"/>
    <w:pPr>
      <w:numPr>
        <w:numId w:val="66"/>
      </w:numPr>
    </w:pPr>
  </w:style>
  <w:style w:type="numbering" w:customStyle="1" w:styleId="WWNum24">
    <w:name w:val="WWNum24"/>
    <w:basedOn w:val="a2"/>
    <w:pPr>
      <w:numPr>
        <w:numId w:val="67"/>
      </w:numPr>
    </w:pPr>
  </w:style>
  <w:style w:type="numbering" w:customStyle="1" w:styleId="WWNum25">
    <w:name w:val="WWNum25"/>
    <w:basedOn w:val="a2"/>
    <w:pPr>
      <w:numPr>
        <w:numId w:val="68"/>
      </w:numPr>
    </w:pPr>
  </w:style>
  <w:style w:type="numbering" w:customStyle="1" w:styleId="WWNum26">
    <w:name w:val="WWNum26"/>
    <w:basedOn w:val="a2"/>
    <w:pPr>
      <w:numPr>
        <w:numId w:val="69"/>
      </w:numPr>
    </w:pPr>
  </w:style>
  <w:style w:type="numbering" w:customStyle="1" w:styleId="WWNum27">
    <w:name w:val="WWNum27"/>
    <w:basedOn w:val="a2"/>
    <w:pPr>
      <w:numPr>
        <w:numId w:val="70"/>
      </w:numPr>
    </w:pPr>
  </w:style>
  <w:style w:type="numbering" w:customStyle="1" w:styleId="WWNum28">
    <w:name w:val="WWNum28"/>
    <w:basedOn w:val="a2"/>
    <w:pPr>
      <w:numPr>
        <w:numId w:val="71"/>
      </w:numPr>
    </w:pPr>
  </w:style>
  <w:style w:type="numbering" w:customStyle="1" w:styleId="WWNum29">
    <w:name w:val="WWNum29"/>
    <w:basedOn w:val="a2"/>
    <w:pPr>
      <w:numPr>
        <w:numId w:val="72"/>
      </w:numPr>
    </w:pPr>
  </w:style>
  <w:style w:type="numbering" w:customStyle="1" w:styleId="WWNum30">
    <w:name w:val="WWNum30"/>
    <w:basedOn w:val="a2"/>
    <w:pPr>
      <w:numPr>
        <w:numId w:val="73"/>
      </w:numPr>
    </w:pPr>
  </w:style>
  <w:style w:type="numbering" w:customStyle="1" w:styleId="WWNum31">
    <w:name w:val="WWNum31"/>
    <w:basedOn w:val="a2"/>
    <w:pPr>
      <w:numPr>
        <w:numId w:val="74"/>
      </w:numPr>
    </w:pPr>
  </w:style>
  <w:style w:type="numbering" w:customStyle="1" w:styleId="WWNum32">
    <w:name w:val="WWNum32"/>
    <w:basedOn w:val="a2"/>
    <w:pPr>
      <w:numPr>
        <w:numId w:val="75"/>
      </w:numPr>
    </w:pPr>
  </w:style>
  <w:style w:type="numbering" w:customStyle="1" w:styleId="WWNum33">
    <w:name w:val="WWNum33"/>
    <w:basedOn w:val="a2"/>
    <w:pPr>
      <w:numPr>
        <w:numId w:val="76"/>
      </w:numPr>
    </w:pPr>
  </w:style>
  <w:style w:type="numbering" w:customStyle="1" w:styleId="WWNum34">
    <w:name w:val="WWNum34"/>
    <w:basedOn w:val="a2"/>
    <w:pPr>
      <w:numPr>
        <w:numId w:val="77"/>
      </w:numPr>
    </w:pPr>
  </w:style>
  <w:style w:type="numbering" w:customStyle="1" w:styleId="WWNum35">
    <w:name w:val="WWNum35"/>
    <w:basedOn w:val="a2"/>
    <w:pPr>
      <w:numPr>
        <w:numId w:val="78"/>
      </w:numPr>
    </w:pPr>
  </w:style>
  <w:style w:type="numbering" w:customStyle="1" w:styleId="WWNum36">
    <w:name w:val="WWNum36"/>
    <w:basedOn w:val="a2"/>
    <w:pPr>
      <w:numPr>
        <w:numId w:val="79"/>
      </w:numPr>
    </w:pPr>
  </w:style>
  <w:style w:type="numbering" w:customStyle="1" w:styleId="WWNum37">
    <w:name w:val="WWNum37"/>
    <w:basedOn w:val="a2"/>
    <w:pPr>
      <w:numPr>
        <w:numId w:val="80"/>
      </w:numPr>
    </w:pPr>
  </w:style>
  <w:style w:type="numbering" w:customStyle="1" w:styleId="WWNum38">
    <w:name w:val="WWNum38"/>
    <w:basedOn w:val="a2"/>
    <w:pPr>
      <w:numPr>
        <w:numId w:val="81"/>
      </w:numPr>
    </w:pPr>
  </w:style>
  <w:style w:type="numbering" w:customStyle="1" w:styleId="WWNum39">
    <w:name w:val="WWNum39"/>
    <w:basedOn w:val="a2"/>
    <w:pPr>
      <w:numPr>
        <w:numId w:val="82"/>
      </w:numPr>
    </w:pPr>
  </w:style>
  <w:style w:type="numbering" w:customStyle="1" w:styleId="WWNum40">
    <w:name w:val="WWNum40"/>
    <w:basedOn w:val="a2"/>
    <w:pPr>
      <w:numPr>
        <w:numId w:val="83"/>
      </w:numPr>
    </w:pPr>
  </w:style>
  <w:style w:type="numbering" w:customStyle="1" w:styleId="WWNum41">
    <w:name w:val="WWNum41"/>
    <w:basedOn w:val="a2"/>
    <w:pPr>
      <w:numPr>
        <w:numId w:val="84"/>
      </w:numPr>
    </w:pPr>
  </w:style>
  <w:style w:type="numbering" w:customStyle="1" w:styleId="WWNum42">
    <w:name w:val="WWNum42"/>
    <w:basedOn w:val="a2"/>
    <w:pPr>
      <w:numPr>
        <w:numId w:val="85"/>
      </w:numPr>
    </w:pPr>
  </w:style>
  <w:style w:type="numbering" w:customStyle="1" w:styleId="WWNum1a">
    <w:name w:val="WWNum1a"/>
    <w:basedOn w:val="a2"/>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陳映璇</dc:creator>
  <cp:lastModifiedBy>User</cp:lastModifiedBy>
  <cp:revision>2</cp:revision>
  <cp:lastPrinted>2024-04-18T13:56:00Z</cp:lastPrinted>
  <dcterms:created xsi:type="dcterms:W3CDTF">2024-05-09T08:48:00Z</dcterms:created>
  <dcterms:modified xsi:type="dcterms:W3CDTF">2024-05-09T08:48:00Z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